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3"/>
        <w:rPr>
          <w:rFonts w:ascii="Times New Roman"/>
          <w:sz w:val="17"/>
        </w:rPr>
      </w:pPr>
    </w:p>
    <w:p>
      <w:pPr>
        <w:pStyle w:val="Heading1"/>
        <w:spacing w:line="204" w:lineRule="auto" w:before="79"/>
        <w:ind w:left="2413" w:right="1971" w:hanging="479"/>
      </w:pPr>
      <w:r>
        <w:rPr/>
        <w:t>江苏省学校和托幼机构急性传染病预防控制工作指引（试行）</w:t>
      </w:r>
    </w:p>
    <w:p>
      <w:pPr>
        <w:pStyle w:val="BodyText"/>
        <w:spacing w:before="8"/>
        <w:rPr>
          <w:rFonts w:ascii="微软雅黑"/>
          <w:sz w:val="28"/>
        </w:rPr>
      </w:pPr>
    </w:p>
    <w:p>
      <w:pPr>
        <w:pStyle w:val="BodyText"/>
        <w:spacing w:line="417" w:lineRule="auto"/>
        <w:ind w:left="180" w:right="105" w:firstLine="429"/>
      </w:pPr>
      <w:r>
        <w:rPr>
          <w:spacing w:val="-7"/>
        </w:rPr>
        <w:t>根据《中华人民共和国传染病防治法</w:t>
      </w:r>
      <w:r>
        <w:rPr>
          <w:spacing w:val="-18"/>
        </w:rPr>
        <w:t>》《学校卫生工作条例</w:t>
      </w:r>
      <w:r>
        <w:rPr>
          <w:spacing w:val="-15"/>
        </w:rPr>
        <w:t>》《学校和托幼机构传染病疫</w:t>
      </w:r>
      <w:r>
        <w:rPr>
          <w:spacing w:val="-7"/>
        </w:rPr>
        <w:t>情报告工作规范</w:t>
      </w:r>
      <w:r>
        <w:rPr/>
        <w:t>（试行</w:t>
      </w:r>
      <w:r>
        <w:rPr>
          <w:spacing w:val="-106"/>
        </w:rPr>
        <w:t>）</w:t>
      </w:r>
      <w:r>
        <w:rPr>
          <w:spacing w:val="-18"/>
        </w:rPr>
        <w:t>》《中小学校传染病预防控制工作管理规范》《学校卫生监督工作规</w:t>
      </w:r>
      <w:r>
        <w:rPr>
          <w:spacing w:val="-13"/>
        </w:rPr>
        <w:t>范》《托儿所幼儿园卫生保健工作规范》和《托儿所幼儿园卫生保健管理办法》等规定和要</w:t>
      </w:r>
      <w:r>
        <w:rPr>
          <w:spacing w:val="-17"/>
        </w:rPr>
        <w:t>求，为进一步加强我省各级各类学校和托幼机构传染病疫情、突发公共卫生事件的防控工作， </w:t>
      </w:r>
      <w:r>
        <w:rPr>
          <w:spacing w:val="-7"/>
        </w:rPr>
        <w:t>特制定本工作指引。</w:t>
      </w:r>
    </w:p>
    <w:p>
      <w:pPr>
        <w:pStyle w:val="Heading3"/>
        <w:spacing w:line="269" w:lineRule="exact"/>
      </w:pPr>
      <w:r>
        <w:rPr/>
        <w:t>一、部门职责</w:t>
      </w:r>
    </w:p>
    <w:p>
      <w:pPr>
        <w:pStyle w:val="BodyText"/>
        <w:spacing w:before="6"/>
        <w:rPr>
          <w:b/>
          <w:sz w:val="15"/>
        </w:rPr>
      </w:pPr>
    </w:p>
    <w:p>
      <w:pPr>
        <w:spacing w:before="1"/>
        <w:ind w:left="612" w:right="0" w:firstLine="0"/>
        <w:jc w:val="left"/>
        <w:rPr>
          <w:b/>
          <w:sz w:val="21"/>
        </w:rPr>
      </w:pPr>
      <w:r>
        <w:rPr>
          <w:b/>
          <w:sz w:val="21"/>
        </w:rPr>
        <w:t>（一）卫生行政部门</w:t>
      </w:r>
    </w:p>
    <w:p>
      <w:pPr>
        <w:pStyle w:val="BodyText"/>
        <w:spacing w:before="6"/>
        <w:rPr>
          <w:b/>
          <w:sz w:val="15"/>
        </w:rPr>
      </w:pPr>
    </w:p>
    <w:p>
      <w:pPr>
        <w:pStyle w:val="ListParagraph"/>
        <w:numPr>
          <w:ilvl w:val="0"/>
          <w:numId w:val="1"/>
        </w:numPr>
        <w:tabs>
          <w:tab w:pos="825" w:val="left" w:leader="none"/>
        </w:tabs>
        <w:spacing w:line="417" w:lineRule="auto" w:before="0" w:after="0"/>
        <w:ind w:left="180" w:right="213" w:firstLine="431"/>
        <w:jc w:val="left"/>
        <w:rPr>
          <w:sz w:val="21"/>
        </w:rPr>
      </w:pPr>
      <w:r>
        <w:rPr>
          <w:spacing w:val="-7"/>
          <w:sz w:val="21"/>
        </w:rPr>
        <w:t>会同教育行政部门共同制定本地区学校和托幼机构传染病疫情监测、报告与防控工作</w:t>
      </w:r>
      <w:r>
        <w:rPr>
          <w:spacing w:val="-3"/>
          <w:sz w:val="21"/>
        </w:rPr>
        <w:t>相关要求或规范，制定突发疫情控制相关对策和措施。</w:t>
      </w:r>
    </w:p>
    <w:p>
      <w:pPr>
        <w:pStyle w:val="ListParagraph"/>
        <w:numPr>
          <w:ilvl w:val="0"/>
          <w:numId w:val="1"/>
        </w:numPr>
        <w:tabs>
          <w:tab w:pos="825" w:val="left" w:leader="none"/>
        </w:tabs>
        <w:spacing w:line="269" w:lineRule="exact" w:before="0" w:after="0"/>
        <w:ind w:left="824" w:right="0" w:hanging="213"/>
        <w:jc w:val="left"/>
        <w:rPr>
          <w:sz w:val="21"/>
        </w:rPr>
      </w:pPr>
      <w:r>
        <w:rPr>
          <w:spacing w:val="-3"/>
          <w:sz w:val="21"/>
        </w:rPr>
        <w:t>指导教育行政部门做好学校和托幼机构传染病聚集性疫情和暴发疫情的处置工作。</w:t>
      </w:r>
    </w:p>
    <w:p>
      <w:pPr>
        <w:pStyle w:val="BodyText"/>
        <w:spacing w:before="7"/>
        <w:rPr>
          <w:sz w:val="15"/>
        </w:rPr>
      </w:pPr>
    </w:p>
    <w:p>
      <w:pPr>
        <w:pStyle w:val="ListParagraph"/>
        <w:numPr>
          <w:ilvl w:val="0"/>
          <w:numId w:val="1"/>
        </w:numPr>
        <w:tabs>
          <w:tab w:pos="825" w:val="left" w:leader="none"/>
        </w:tabs>
        <w:spacing w:line="417" w:lineRule="auto" w:before="0" w:after="0"/>
        <w:ind w:left="180" w:right="211" w:firstLine="431"/>
        <w:jc w:val="left"/>
        <w:rPr>
          <w:sz w:val="21"/>
        </w:rPr>
      </w:pPr>
      <w:r>
        <w:rPr>
          <w:spacing w:val="-7"/>
          <w:sz w:val="21"/>
        </w:rPr>
        <w:t>会同同级教育行政部门开展对学校和托幼机构传染病疫情的监测、报告和防控工作的</w:t>
      </w:r>
      <w:r>
        <w:rPr>
          <w:spacing w:val="-5"/>
          <w:sz w:val="21"/>
        </w:rPr>
        <w:t>督促与检查。</w:t>
      </w:r>
    </w:p>
    <w:p>
      <w:pPr>
        <w:pStyle w:val="ListParagraph"/>
        <w:numPr>
          <w:ilvl w:val="0"/>
          <w:numId w:val="1"/>
        </w:numPr>
        <w:tabs>
          <w:tab w:pos="825" w:val="left" w:leader="none"/>
        </w:tabs>
        <w:spacing w:line="417" w:lineRule="auto" w:before="0" w:after="0"/>
        <w:ind w:left="180" w:right="211" w:firstLine="431"/>
        <w:jc w:val="left"/>
        <w:rPr>
          <w:sz w:val="21"/>
        </w:rPr>
      </w:pPr>
      <w:r>
        <w:rPr>
          <w:spacing w:val="-5"/>
          <w:sz w:val="21"/>
        </w:rPr>
        <w:t>负责与同级教育行政部门共同组织开展学校和托幼机构</w:t>
      </w:r>
      <w:r>
        <w:rPr>
          <w:sz w:val="21"/>
        </w:rPr>
        <w:t>（</w:t>
      </w:r>
      <w:r>
        <w:rPr>
          <w:spacing w:val="-10"/>
          <w:sz w:val="21"/>
        </w:rPr>
        <w:t>包括法人、校医、保健老师</w:t>
      </w:r>
      <w:r>
        <w:rPr>
          <w:spacing w:val="-8"/>
          <w:sz w:val="21"/>
        </w:rPr>
        <w:t>等人员</w:t>
      </w:r>
      <w:r>
        <w:rPr>
          <w:sz w:val="21"/>
        </w:rPr>
        <w:t>）</w:t>
      </w:r>
      <w:r>
        <w:rPr>
          <w:spacing w:val="-3"/>
          <w:sz w:val="21"/>
        </w:rPr>
        <w:t>传染病防控及监测、报告等相关业务的培训。</w:t>
      </w:r>
    </w:p>
    <w:p>
      <w:pPr>
        <w:pStyle w:val="ListParagraph"/>
        <w:numPr>
          <w:ilvl w:val="0"/>
          <w:numId w:val="1"/>
        </w:numPr>
        <w:tabs>
          <w:tab w:pos="825" w:val="left" w:leader="none"/>
        </w:tabs>
        <w:spacing w:line="417" w:lineRule="auto" w:before="0" w:after="0"/>
        <w:ind w:left="180" w:right="314" w:firstLine="431"/>
        <w:jc w:val="left"/>
        <w:rPr>
          <w:sz w:val="21"/>
        </w:rPr>
      </w:pPr>
      <w:r>
        <w:rPr>
          <w:spacing w:val="-3"/>
          <w:sz w:val="21"/>
        </w:rPr>
        <w:t>及时向同级教育行政部门通报本地区学校和托幼机构传染病疫情等突发公共卫生事件相关信息。</w:t>
      </w:r>
    </w:p>
    <w:p>
      <w:pPr>
        <w:pStyle w:val="ListParagraph"/>
        <w:numPr>
          <w:ilvl w:val="0"/>
          <w:numId w:val="1"/>
        </w:numPr>
        <w:tabs>
          <w:tab w:pos="825" w:val="left" w:leader="none"/>
        </w:tabs>
        <w:spacing w:line="417" w:lineRule="auto" w:before="0" w:after="0"/>
        <w:ind w:left="180" w:right="314" w:firstLine="431"/>
        <w:jc w:val="left"/>
        <w:rPr>
          <w:sz w:val="21"/>
        </w:rPr>
      </w:pPr>
      <w:r>
        <w:rPr>
          <w:spacing w:val="-3"/>
          <w:sz w:val="21"/>
        </w:rPr>
        <w:t>在发生突发疫情时，协调相关部门和单位进行学校和托幼机构周边传染病疫情的监测，防止疫情的扩散。</w:t>
      </w:r>
    </w:p>
    <w:p>
      <w:pPr>
        <w:pStyle w:val="Heading3"/>
      </w:pPr>
      <w:r>
        <w:rPr/>
        <w:t>（二）教育行政部门</w:t>
      </w:r>
    </w:p>
    <w:p>
      <w:pPr>
        <w:pStyle w:val="BodyText"/>
        <w:spacing w:before="6"/>
        <w:rPr>
          <w:b/>
          <w:sz w:val="15"/>
        </w:rPr>
      </w:pPr>
    </w:p>
    <w:p>
      <w:pPr>
        <w:pStyle w:val="ListParagraph"/>
        <w:numPr>
          <w:ilvl w:val="0"/>
          <w:numId w:val="2"/>
        </w:numPr>
        <w:tabs>
          <w:tab w:pos="825" w:val="left" w:leader="none"/>
        </w:tabs>
        <w:spacing w:line="417" w:lineRule="auto" w:before="0" w:after="0"/>
        <w:ind w:left="180" w:right="210" w:firstLine="431"/>
        <w:jc w:val="left"/>
        <w:rPr>
          <w:sz w:val="21"/>
        </w:rPr>
      </w:pPr>
      <w:r>
        <w:rPr>
          <w:spacing w:val="-7"/>
          <w:sz w:val="21"/>
        </w:rPr>
        <w:t>协助卫生行政部门制定本地区学校和托幼机构传染病疫情监测、报告与防控工作相关</w:t>
      </w:r>
      <w:r>
        <w:rPr>
          <w:spacing w:val="-5"/>
          <w:sz w:val="21"/>
        </w:rPr>
        <w:t>要求或规范，制定突发疫情控制相关对策和措施。</w:t>
      </w:r>
    </w:p>
    <w:p>
      <w:pPr>
        <w:pStyle w:val="ListParagraph"/>
        <w:numPr>
          <w:ilvl w:val="0"/>
          <w:numId w:val="2"/>
        </w:numPr>
        <w:tabs>
          <w:tab w:pos="825" w:val="left" w:leader="none"/>
        </w:tabs>
        <w:spacing w:line="417" w:lineRule="auto" w:before="0" w:after="0"/>
        <w:ind w:left="180" w:right="319" w:firstLine="431"/>
        <w:jc w:val="left"/>
        <w:rPr>
          <w:sz w:val="21"/>
        </w:rPr>
      </w:pPr>
      <w:r>
        <w:rPr>
          <w:spacing w:val="-9"/>
          <w:sz w:val="21"/>
        </w:rPr>
        <w:t>联合卫生行政部门做好学校和托幼机构传染病聚集性疫情和暴发疫情的处置工作，督</w:t>
      </w:r>
      <w:r>
        <w:rPr>
          <w:spacing w:val="-3"/>
          <w:sz w:val="21"/>
        </w:rPr>
        <w:t>促学校按照卫生部门要求规范开展各项防控措施。</w:t>
      </w:r>
    </w:p>
    <w:p>
      <w:pPr>
        <w:pStyle w:val="ListParagraph"/>
        <w:numPr>
          <w:ilvl w:val="0"/>
          <w:numId w:val="2"/>
        </w:numPr>
        <w:tabs>
          <w:tab w:pos="825" w:val="left" w:leader="none"/>
        </w:tabs>
        <w:spacing w:line="417" w:lineRule="auto" w:before="0" w:after="0"/>
        <w:ind w:left="180" w:right="211" w:firstLine="431"/>
        <w:jc w:val="left"/>
        <w:rPr>
          <w:sz w:val="21"/>
        </w:rPr>
      </w:pPr>
      <w:r>
        <w:rPr>
          <w:spacing w:val="-7"/>
          <w:sz w:val="21"/>
        </w:rPr>
        <w:t>联合同级卫生行政部门对学校和托幼机构传染病疫情的监测、报告和防控工作的督促</w:t>
      </w:r>
      <w:r>
        <w:rPr>
          <w:spacing w:val="-5"/>
          <w:sz w:val="21"/>
        </w:rPr>
        <w:t>与检查。</w:t>
      </w:r>
    </w:p>
    <w:p>
      <w:pPr>
        <w:spacing w:after="0" w:line="417" w:lineRule="auto"/>
        <w:jc w:val="left"/>
        <w:rPr>
          <w:sz w:val="21"/>
        </w:rPr>
        <w:sectPr>
          <w:type w:val="continuous"/>
          <w:pgSz w:w="11910" w:h="16840"/>
          <w:pgMar w:top="1580" w:bottom="280" w:left="1620" w:right="1580"/>
        </w:sectPr>
      </w:pPr>
    </w:p>
    <w:p>
      <w:pPr>
        <w:pStyle w:val="ListParagraph"/>
        <w:numPr>
          <w:ilvl w:val="0"/>
          <w:numId w:val="2"/>
        </w:numPr>
        <w:tabs>
          <w:tab w:pos="825" w:val="left" w:leader="none"/>
        </w:tabs>
        <w:spacing w:line="417" w:lineRule="auto" w:before="41" w:after="0"/>
        <w:ind w:left="180" w:right="211" w:firstLine="431"/>
        <w:jc w:val="left"/>
        <w:rPr>
          <w:sz w:val="21"/>
        </w:rPr>
      </w:pPr>
      <w:r>
        <w:rPr>
          <w:spacing w:val="-5"/>
          <w:sz w:val="21"/>
        </w:rPr>
        <w:t>负责与同级卫生行政部门共同组织开展学校和托幼机构</w:t>
      </w:r>
      <w:r>
        <w:rPr>
          <w:sz w:val="21"/>
        </w:rPr>
        <w:t>（</w:t>
      </w:r>
      <w:r>
        <w:rPr>
          <w:spacing w:val="-10"/>
          <w:sz w:val="21"/>
        </w:rPr>
        <w:t>包括法人、校医、保健老师</w:t>
      </w:r>
      <w:r>
        <w:rPr>
          <w:spacing w:val="-8"/>
          <w:sz w:val="21"/>
        </w:rPr>
        <w:t>等人员</w:t>
      </w:r>
      <w:r>
        <w:rPr>
          <w:sz w:val="21"/>
        </w:rPr>
        <w:t>）</w:t>
      </w:r>
      <w:r>
        <w:rPr>
          <w:spacing w:val="-3"/>
          <w:sz w:val="21"/>
        </w:rPr>
        <w:t>传染病防控及监测、报告等相关业务的培训。</w:t>
      </w:r>
    </w:p>
    <w:p>
      <w:pPr>
        <w:pStyle w:val="ListParagraph"/>
        <w:numPr>
          <w:ilvl w:val="0"/>
          <w:numId w:val="2"/>
        </w:numPr>
        <w:tabs>
          <w:tab w:pos="825" w:val="left" w:leader="none"/>
        </w:tabs>
        <w:spacing w:line="417" w:lineRule="auto" w:before="0" w:after="0"/>
        <w:ind w:left="180" w:right="211" w:firstLine="431"/>
        <w:jc w:val="left"/>
        <w:rPr>
          <w:sz w:val="21"/>
        </w:rPr>
      </w:pPr>
      <w:r>
        <w:rPr>
          <w:spacing w:val="-12"/>
          <w:sz w:val="21"/>
        </w:rPr>
        <w:t>加强与卫生行政部门的沟通，及时了解本地区学校和托幼机构传染病疫情等突发公共</w:t>
      </w:r>
      <w:r>
        <w:rPr>
          <w:spacing w:val="-6"/>
          <w:sz w:val="21"/>
        </w:rPr>
        <w:t>卫生事件相关信息。</w:t>
      </w:r>
    </w:p>
    <w:p>
      <w:pPr>
        <w:pStyle w:val="Heading3"/>
        <w:spacing w:line="269" w:lineRule="exact"/>
      </w:pPr>
      <w:r>
        <w:rPr/>
        <w:t>（三）学校和托幼机构</w:t>
      </w:r>
    </w:p>
    <w:p>
      <w:pPr>
        <w:pStyle w:val="BodyText"/>
        <w:spacing w:before="7"/>
        <w:rPr>
          <w:b/>
          <w:sz w:val="15"/>
        </w:rPr>
      </w:pPr>
    </w:p>
    <w:p>
      <w:pPr>
        <w:pStyle w:val="ListParagraph"/>
        <w:numPr>
          <w:ilvl w:val="0"/>
          <w:numId w:val="3"/>
        </w:numPr>
        <w:tabs>
          <w:tab w:pos="825" w:val="left" w:leader="none"/>
        </w:tabs>
        <w:spacing w:line="240" w:lineRule="auto" w:before="0" w:after="0"/>
        <w:ind w:left="824" w:right="0" w:hanging="213"/>
        <w:jc w:val="left"/>
        <w:rPr>
          <w:sz w:val="21"/>
        </w:rPr>
      </w:pPr>
      <w:r>
        <w:rPr>
          <w:spacing w:val="-3"/>
          <w:sz w:val="21"/>
        </w:rPr>
        <w:t>认真贯彻执行传染病防治法律、法规，做好传染病的预防和控制工作。</w:t>
      </w:r>
    </w:p>
    <w:p>
      <w:pPr>
        <w:pStyle w:val="BodyText"/>
        <w:spacing w:before="6"/>
        <w:rPr>
          <w:sz w:val="15"/>
        </w:rPr>
      </w:pPr>
    </w:p>
    <w:p>
      <w:pPr>
        <w:pStyle w:val="ListParagraph"/>
        <w:numPr>
          <w:ilvl w:val="0"/>
          <w:numId w:val="3"/>
        </w:numPr>
        <w:tabs>
          <w:tab w:pos="825" w:val="left" w:leader="none"/>
        </w:tabs>
        <w:spacing w:line="240" w:lineRule="auto" w:before="0" w:after="0"/>
        <w:ind w:left="824" w:right="0" w:hanging="213"/>
        <w:jc w:val="left"/>
        <w:rPr>
          <w:sz w:val="21"/>
        </w:rPr>
      </w:pPr>
      <w:r>
        <w:rPr>
          <w:spacing w:val="-3"/>
          <w:sz w:val="21"/>
        </w:rPr>
        <w:t>在教育行政部门和卫生行政部门的指导下，将传染病防控工作纳入学校工作计划。</w:t>
      </w:r>
    </w:p>
    <w:p>
      <w:pPr>
        <w:pStyle w:val="BodyText"/>
        <w:spacing w:before="7"/>
        <w:rPr>
          <w:sz w:val="15"/>
        </w:rPr>
      </w:pPr>
    </w:p>
    <w:p>
      <w:pPr>
        <w:pStyle w:val="ListParagraph"/>
        <w:numPr>
          <w:ilvl w:val="0"/>
          <w:numId w:val="3"/>
        </w:numPr>
        <w:tabs>
          <w:tab w:pos="823" w:val="left" w:leader="none"/>
        </w:tabs>
        <w:spacing w:line="417" w:lineRule="auto" w:before="0" w:after="0"/>
        <w:ind w:left="180" w:right="108" w:firstLine="429"/>
        <w:jc w:val="left"/>
        <w:rPr>
          <w:sz w:val="21"/>
        </w:rPr>
      </w:pPr>
      <w:r>
        <w:rPr>
          <w:spacing w:val="-3"/>
          <w:sz w:val="21"/>
        </w:rPr>
        <w:t>负责建立、健全本单位传染病疫情、突发公共卫生事件监测、报告和管理工作制度， </w:t>
      </w:r>
      <w:r>
        <w:rPr>
          <w:spacing w:val="-7"/>
          <w:sz w:val="21"/>
        </w:rPr>
        <w:t>成立由校长作为第一责任人的传染病预防控制工作小组</w:t>
      </w:r>
      <w:r>
        <w:rPr>
          <w:sz w:val="21"/>
        </w:rPr>
        <w:t>（</w:t>
      </w:r>
      <w:r>
        <w:rPr>
          <w:spacing w:val="-3"/>
          <w:sz w:val="21"/>
        </w:rPr>
        <w:t>或传染病预防控制相关职责管理领</w:t>
      </w:r>
      <w:r>
        <w:rPr>
          <w:spacing w:val="-3"/>
          <w:w w:val="100"/>
          <w:sz w:val="21"/>
        </w:rPr>
        <w:t>导小组</w:t>
      </w:r>
      <w:r>
        <w:rPr>
          <w:spacing w:val="-106"/>
          <w:w w:val="100"/>
          <w:sz w:val="21"/>
        </w:rPr>
        <w:t>）</w:t>
      </w:r>
      <w:r>
        <w:rPr>
          <w:spacing w:val="-3"/>
          <w:w w:val="100"/>
          <w:sz w:val="21"/>
        </w:rPr>
        <w:t>，全面负责学校的各项传染病预防控制管理工作。</w:t>
      </w:r>
    </w:p>
    <w:p>
      <w:pPr>
        <w:pStyle w:val="ListParagraph"/>
        <w:numPr>
          <w:ilvl w:val="0"/>
          <w:numId w:val="3"/>
        </w:numPr>
        <w:tabs>
          <w:tab w:pos="823" w:val="left" w:leader="none"/>
        </w:tabs>
        <w:spacing w:line="417" w:lineRule="auto" w:before="0" w:after="0"/>
        <w:ind w:left="180" w:right="211" w:firstLine="429"/>
        <w:jc w:val="both"/>
        <w:rPr>
          <w:sz w:val="21"/>
        </w:rPr>
      </w:pPr>
      <w:r>
        <w:rPr>
          <w:spacing w:val="-6"/>
          <w:sz w:val="21"/>
        </w:rPr>
        <w:t>学校和托幼机构的校长是传染病疫情发现报告和防控工作开展落实的第一责任人。学</w:t>
      </w:r>
      <w:r>
        <w:rPr>
          <w:spacing w:val="-7"/>
          <w:sz w:val="21"/>
        </w:rPr>
        <w:t>校和托幼机构校长可指定专职</w:t>
      </w:r>
      <w:r>
        <w:rPr>
          <w:sz w:val="21"/>
        </w:rPr>
        <w:t>（</w:t>
      </w:r>
      <w:r>
        <w:rPr>
          <w:spacing w:val="-2"/>
          <w:sz w:val="21"/>
        </w:rPr>
        <w:t>兼职</w:t>
      </w:r>
      <w:r>
        <w:rPr>
          <w:spacing w:val="-34"/>
          <w:sz w:val="21"/>
        </w:rPr>
        <w:t>）</w:t>
      </w:r>
      <w:r>
        <w:rPr>
          <w:spacing w:val="-5"/>
          <w:sz w:val="21"/>
        </w:rPr>
        <w:t>保健教师或校医作为疫情报告人，负责本单位内传染</w:t>
      </w:r>
      <w:r>
        <w:rPr>
          <w:spacing w:val="-4"/>
          <w:sz w:val="21"/>
        </w:rPr>
        <w:t>病疫情、突发公共卫生事件、因病缺课等信息的收集、汇总和报告工作。</w:t>
      </w:r>
    </w:p>
    <w:p>
      <w:pPr>
        <w:pStyle w:val="ListParagraph"/>
        <w:numPr>
          <w:ilvl w:val="0"/>
          <w:numId w:val="3"/>
        </w:numPr>
        <w:tabs>
          <w:tab w:pos="823" w:val="left" w:leader="none"/>
        </w:tabs>
        <w:spacing w:line="417" w:lineRule="auto" w:before="0" w:after="0"/>
        <w:ind w:left="180" w:right="211" w:firstLine="429"/>
        <w:jc w:val="left"/>
        <w:rPr>
          <w:sz w:val="21"/>
        </w:rPr>
      </w:pPr>
      <w:r>
        <w:rPr>
          <w:spacing w:val="-3"/>
          <w:sz w:val="21"/>
        </w:rPr>
        <w:t>在本单位内部贯彻学习教育和卫生行政部门开展的传染病防控及传染病疫情报告等</w:t>
      </w:r>
      <w:r>
        <w:rPr>
          <w:spacing w:val="-9"/>
          <w:sz w:val="21"/>
        </w:rPr>
        <w:t>相关工作的专项内容，培训面应覆盖班主任、学校管理人员和食品管理人员等。做到传染病</w:t>
      </w:r>
      <w:r>
        <w:rPr>
          <w:spacing w:val="-5"/>
          <w:sz w:val="21"/>
        </w:rPr>
        <w:t>疫情早发现、早报告。</w:t>
      </w:r>
    </w:p>
    <w:p>
      <w:pPr>
        <w:pStyle w:val="ListParagraph"/>
        <w:numPr>
          <w:ilvl w:val="0"/>
          <w:numId w:val="3"/>
        </w:numPr>
        <w:tabs>
          <w:tab w:pos="823" w:val="left" w:leader="none"/>
        </w:tabs>
        <w:spacing w:line="417" w:lineRule="auto" w:before="0" w:after="0"/>
        <w:ind w:left="180" w:right="211" w:firstLine="429"/>
        <w:jc w:val="left"/>
        <w:rPr>
          <w:sz w:val="21"/>
        </w:rPr>
      </w:pPr>
      <w:r>
        <w:rPr>
          <w:spacing w:val="-12"/>
          <w:sz w:val="21"/>
        </w:rPr>
        <w:t>负责监测学生健康状况，采取多种形式对本单位全体人员以及学生家长进行传染病防</w:t>
      </w:r>
      <w:r>
        <w:rPr>
          <w:spacing w:val="-6"/>
          <w:sz w:val="21"/>
        </w:rPr>
        <w:t>治知识的科普宣传教育、改善学校卫生环境和教学卫生条件。</w:t>
      </w:r>
    </w:p>
    <w:p>
      <w:pPr>
        <w:pStyle w:val="ListParagraph"/>
        <w:numPr>
          <w:ilvl w:val="0"/>
          <w:numId w:val="3"/>
        </w:numPr>
        <w:tabs>
          <w:tab w:pos="825" w:val="left" w:leader="none"/>
        </w:tabs>
        <w:spacing w:line="417" w:lineRule="auto" w:before="0" w:after="0"/>
        <w:ind w:left="180" w:right="213" w:firstLine="431"/>
        <w:jc w:val="both"/>
        <w:rPr>
          <w:sz w:val="21"/>
        </w:rPr>
      </w:pPr>
      <w:r>
        <w:rPr>
          <w:spacing w:val="-8"/>
          <w:sz w:val="21"/>
        </w:rPr>
        <w:t>配合疾病预防控制机构对本单位发生的传染病疫情、突发公共卫生事件进行调查和采</w:t>
      </w:r>
      <w:r>
        <w:rPr>
          <w:spacing w:val="-3"/>
          <w:sz w:val="21"/>
        </w:rPr>
        <w:t>样等工作，落实疾控机构提出的疫情相关防控措施,接受教育行政部门与卫生行政部门对学校传染病疫情和突发公共卫生事件的监测、报告和疫情防控工作开展情况的督导和检查。</w:t>
      </w:r>
    </w:p>
    <w:p>
      <w:pPr>
        <w:pStyle w:val="Heading3"/>
        <w:spacing w:line="269" w:lineRule="exact"/>
      </w:pPr>
      <w:r>
        <w:rPr/>
        <w:t>（四）疾病预防控制机构</w:t>
      </w:r>
    </w:p>
    <w:p>
      <w:pPr>
        <w:pStyle w:val="BodyText"/>
        <w:spacing w:before="6"/>
        <w:rPr>
          <w:b/>
          <w:sz w:val="15"/>
        </w:rPr>
      </w:pPr>
    </w:p>
    <w:p>
      <w:pPr>
        <w:pStyle w:val="ListParagraph"/>
        <w:numPr>
          <w:ilvl w:val="0"/>
          <w:numId w:val="4"/>
        </w:numPr>
        <w:tabs>
          <w:tab w:pos="813" w:val="left" w:leader="none"/>
        </w:tabs>
        <w:spacing w:line="417" w:lineRule="auto" w:before="0" w:after="0"/>
        <w:ind w:left="180" w:right="211" w:firstLine="419"/>
        <w:jc w:val="left"/>
        <w:rPr>
          <w:sz w:val="21"/>
        </w:rPr>
      </w:pPr>
      <w:r>
        <w:rPr>
          <w:spacing w:val="-7"/>
          <w:sz w:val="21"/>
        </w:rPr>
        <w:t>负责为学校和托幼机构开展传染病疫情和突发公共卫生事件监测、报告和防控工作提</w:t>
      </w:r>
      <w:r>
        <w:rPr>
          <w:spacing w:val="-5"/>
          <w:sz w:val="21"/>
        </w:rPr>
        <w:t>供技术支持。</w:t>
      </w:r>
    </w:p>
    <w:p>
      <w:pPr>
        <w:pStyle w:val="ListParagraph"/>
        <w:numPr>
          <w:ilvl w:val="0"/>
          <w:numId w:val="4"/>
        </w:numPr>
        <w:tabs>
          <w:tab w:pos="813" w:val="left" w:leader="none"/>
        </w:tabs>
        <w:spacing w:line="417" w:lineRule="auto" w:before="0" w:after="0"/>
        <w:ind w:left="180" w:right="211" w:firstLine="419"/>
        <w:jc w:val="left"/>
        <w:rPr>
          <w:sz w:val="21"/>
        </w:rPr>
      </w:pPr>
      <w:r>
        <w:rPr>
          <w:spacing w:val="-9"/>
          <w:sz w:val="21"/>
        </w:rPr>
        <w:t>接受学校和托幼机构传染病疫情、突发公共卫生事件的报告，负责对传染病疫情开展</w:t>
      </w:r>
      <w:r>
        <w:rPr>
          <w:spacing w:val="-8"/>
          <w:sz w:val="21"/>
        </w:rPr>
        <w:t>流行病学调查、采样和检测工作，并提出书面的《传染病疫情防控措施建议书》。</w:t>
      </w:r>
    </w:p>
    <w:p>
      <w:pPr>
        <w:pStyle w:val="ListParagraph"/>
        <w:numPr>
          <w:ilvl w:val="0"/>
          <w:numId w:val="4"/>
        </w:numPr>
        <w:tabs>
          <w:tab w:pos="813" w:val="left" w:leader="none"/>
        </w:tabs>
        <w:spacing w:line="417" w:lineRule="auto" w:before="0" w:after="0"/>
        <w:ind w:left="180" w:right="211" w:firstLine="419"/>
        <w:jc w:val="left"/>
        <w:rPr>
          <w:sz w:val="21"/>
        </w:rPr>
      </w:pPr>
      <w:r>
        <w:rPr>
          <w:spacing w:val="-8"/>
          <w:sz w:val="21"/>
        </w:rPr>
        <w:t>为辖区内学校和托幼机构法人、校医或保健老师等人员在开展传染病监测，报告，疫</w:t>
      </w:r>
      <w:r>
        <w:rPr>
          <w:spacing w:val="-5"/>
          <w:sz w:val="21"/>
        </w:rPr>
        <w:t>情处置等培训工作方面提供技术指导。配合教育部门开展传染病防控业务培训。</w:t>
      </w:r>
    </w:p>
    <w:p>
      <w:pPr>
        <w:pStyle w:val="ListParagraph"/>
        <w:numPr>
          <w:ilvl w:val="0"/>
          <w:numId w:val="4"/>
        </w:numPr>
        <w:tabs>
          <w:tab w:pos="813" w:val="left" w:leader="none"/>
        </w:tabs>
        <w:spacing w:line="417" w:lineRule="auto" w:before="0" w:after="0"/>
        <w:ind w:left="180" w:right="211" w:firstLine="419"/>
        <w:jc w:val="left"/>
        <w:rPr>
          <w:sz w:val="21"/>
        </w:rPr>
      </w:pPr>
      <w:r>
        <w:rPr>
          <w:spacing w:val="-7"/>
          <w:sz w:val="21"/>
        </w:rPr>
        <w:t>协助学校和托幼机构开展传染病防控知识的科普宣传，推荐或提供健康教育所需授课</w:t>
      </w:r>
      <w:r>
        <w:rPr>
          <w:spacing w:val="-5"/>
          <w:sz w:val="21"/>
        </w:rPr>
        <w:t>材料、宣传资料等，指导学校规范开展传染病健康教育工作。</w:t>
      </w:r>
    </w:p>
    <w:p>
      <w:pPr>
        <w:spacing w:after="0" w:line="417" w:lineRule="auto"/>
        <w:jc w:val="left"/>
        <w:rPr>
          <w:sz w:val="21"/>
        </w:rPr>
        <w:sectPr>
          <w:pgSz w:w="11910" w:h="16840"/>
          <w:pgMar w:top="1480" w:bottom="280" w:left="1620" w:right="1580"/>
        </w:sectPr>
      </w:pPr>
    </w:p>
    <w:p>
      <w:pPr>
        <w:pStyle w:val="Heading3"/>
        <w:spacing w:before="41"/>
      </w:pPr>
      <w:r>
        <w:rPr/>
        <w:t>二、健康管理</w:t>
      </w:r>
    </w:p>
    <w:p>
      <w:pPr>
        <w:pStyle w:val="BodyText"/>
        <w:spacing w:before="7"/>
        <w:rPr>
          <w:b/>
          <w:sz w:val="15"/>
        </w:rPr>
      </w:pPr>
    </w:p>
    <w:p>
      <w:pPr>
        <w:spacing w:before="0"/>
        <w:ind w:left="612" w:right="0" w:firstLine="0"/>
        <w:jc w:val="left"/>
        <w:rPr>
          <w:b/>
          <w:sz w:val="21"/>
        </w:rPr>
      </w:pPr>
      <w:r>
        <w:rPr>
          <w:b/>
          <w:sz w:val="21"/>
        </w:rPr>
        <w:t>（一）提供传染病防控条件</w:t>
      </w:r>
    </w:p>
    <w:p>
      <w:pPr>
        <w:pStyle w:val="BodyText"/>
        <w:spacing w:before="7"/>
        <w:rPr>
          <w:b/>
          <w:sz w:val="15"/>
        </w:rPr>
      </w:pPr>
    </w:p>
    <w:p>
      <w:pPr>
        <w:pStyle w:val="ListParagraph"/>
        <w:numPr>
          <w:ilvl w:val="0"/>
          <w:numId w:val="5"/>
        </w:numPr>
        <w:tabs>
          <w:tab w:pos="825" w:val="left" w:leader="none"/>
        </w:tabs>
        <w:spacing w:line="417" w:lineRule="auto" w:before="0" w:after="0"/>
        <w:ind w:left="180" w:right="105" w:firstLine="431"/>
        <w:jc w:val="left"/>
        <w:rPr>
          <w:sz w:val="21"/>
        </w:rPr>
      </w:pPr>
      <w:r>
        <w:rPr>
          <w:spacing w:val="-3"/>
          <w:sz w:val="21"/>
        </w:rPr>
        <w:t>学校和托幼机构每年应安排用于传染病预防控制的工作经费，保证各项传染病防控、物资储备、健康教育等工作的落实。</w:t>
      </w:r>
    </w:p>
    <w:p>
      <w:pPr>
        <w:pStyle w:val="ListParagraph"/>
        <w:numPr>
          <w:ilvl w:val="0"/>
          <w:numId w:val="5"/>
        </w:numPr>
        <w:tabs>
          <w:tab w:pos="825" w:val="left" w:leader="none"/>
        </w:tabs>
        <w:spacing w:line="269" w:lineRule="exact" w:before="0" w:after="0"/>
        <w:ind w:left="824" w:right="0" w:hanging="213"/>
        <w:jc w:val="left"/>
        <w:rPr>
          <w:sz w:val="21"/>
        </w:rPr>
      </w:pPr>
      <w:r>
        <w:rPr>
          <w:spacing w:val="-8"/>
          <w:sz w:val="21"/>
        </w:rPr>
        <w:t>寄宿制学校和学生人数 </w:t>
      </w:r>
      <w:r>
        <w:rPr>
          <w:sz w:val="21"/>
        </w:rPr>
        <w:t>600</w:t>
      </w:r>
      <w:r>
        <w:rPr>
          <w:spacing w:val="-15"/>
          <w:sz w:val="21"/>
        </w:rPr>
        <w:t> 人以上的学校应设立医务室或者卫生室，并按不低于学生</w:t>
      </w:r>
    </w:p>
    <w:p>
      <w:pPr>
        <w:pStyle w:val="BodyText"/>
        <w:spacing w:before="6"/>
        <w:rPr>
          <w:sz w:val="15"/>
        </w:rPr>
      </w:pPr>
    </w:p>
    <w:p>
      <w:pPr>
        <w:pStyle w:val="BodyText"/>
        <w:spacing w:line="417" w:lineRule="auto" w:before="1"/>
        <w:ind w:left="180" w:right="117"/>
      </w:pPr>
      <w:r>
        <w:rPr>
          <w:spacing w:val="-15"/>
        </w:rPr>
        <w:t>人数 </w:t>
      </w:r>
      <w:r>
        <w:rPr/>
        <w:t>600:1</w:t>
      </w:r>
      <w:r>
        <w:rPr>
          <w:spacing w:val="-10"/>
        </w:rPr>
        <w:t> 的比例配备专职学校卫生专业技术人员；学生人数不足 </w:t>
      </w:r>
      <w:r>
        <w:rPr/>
        <w:t>600</w:t>
      </w:r>
      <w:r>
        <w:rPr>
          <w:spacing w:val="-9"/>
        </w:rPr>
        <w:t> 人的非寄宿制学校， </w:t>
      </w:r>
      <w:r>
        <w:rPr>
          <w:spacing w:val="-5"/>
        </w:rPr>
        <w:t>需配备专职或者兼职卫生专业技术人员或保健老师，开展传染病防控工作。</w:t>
      </w:r>
    </w:p>
    <w:p>
      <w:pPr>
        <w:pStyle w:val="ListParagraph"/>
        <w:numPr>
          <w:ilvl w:val="0"/>
          <w:numId w:val="5"/>
        </w:numPr>
        <w:tabs>
          <w:tab w:pos="825" w:val="left" w:leader="none"/>
        </w:tabs>
        <w:spacing w:line="417" w:lineRule="auto" w:before="0" w:after="0"/>
        <w:ind w:left="180" w:right="211" w:firstLine="431"/>
        <w:jc w:val="left"/>
        <w:rPr>
          <w:sz w:val="21"/>
        </w:rPr>
      </w:pPr>
      <w:r>
        <w:rPr>
          <w:spacing w:val="-11"/>
          <w:sz w:val="21"/>
        </w:rPr>
        <w:t>托幼机构应根据规模、接收儿童数量等设立相应的卫生室或保健室，具体负责卫生保</w:t>
      </w:r>
      <w:r>
        <w:rPr>
          <w:spacing w:val="-15"/>
          <w:sz w:val="21"/>
        </w:rPr>
        <w:t>健工作；应按照收托 </w:t>
      </w:r>
      <w:r>
        <w:rPr>
          <w:sz w:val="21"/>
        </w:rPr>
        <w:t>150</w:t>
      </w:r>
      <w:r>
        <w:rPr>
          <w:spacing w:val="-14"/>
          <w:sz w:val="21"/>
        </w:rPr>
        <w:t> 名儿童至少设 </w:t>
      </w:r>
      <w:r>
        <w:rPr>
          <w:sz w:val="21"/>
        </w:rPr>
        <w:t>1</w:t>
      </w:r>
      <w:r>
        <w:rPr>
          <w:spacing w:val="-10"/>
          <w:sz w:val="21"/>
        </w:rPr>
        <w:t> 名专职卫生保健人员的比例配备卫生保健人员，收</w:t>
      </w:r>
    </w:p>
    <w:p>
      <w:pPr>
        <w:pStyle w:val="BodyText"/>
        <w:ind w:left="180"/>
      </w:pPr>
      <w:r>
        <w:rPr/>
        <w:t>托 150 名以下儿童的，应当配备专职或兼职卫生保健人员。</w:t>
      </w:r>
    </w:p>
    <w:p>
      <w:pPr>
        <w:pStyle w:val="BodyText"/>
        <w:spacing w:before="6"/>
        <w:rPr>
          <w:sz w:val="15"/>
        </w:rPr>
      </w:pPr>
    </w:p>
    <w:p>
      <w:pPr>
        <w:pStyle w:val="ListParagraph"/>
        <w:numPr>
          <w:ilvl w:val="0"/>
          <w:numId w:val="5"/>
        </w:numPr>
        <w:tabs>
          <w:tab w:pos="825" w:val="left" w:leader="none"/>
        </w:tabs>
        <w:spacing w:line="417" w:lineRule="auto" w:before="0" w:after="0"/>
        <w:ind w:left="180" w:right="110" w:firstLine="431"/>
        <w:jc w:val="left"/>
        <w:rPr>
          <w:sz w:val="21"/>
        </w:rPr>
      </w:pPr>
      <w:r>
        <w:rPr>
          <w:spacing w:val="-8"/>
          <w:sz w:val="21"/>
        </w:rPr>
        <w:t>学校和托幼机构应按照有关规定设置厕所和洗手设施。提供充足的符合卫生标准的饮</w:t>
      </w:r>
      <w:r>
        <w:rPr>
          <w:spacing w:val="-17"/>
          <w:w w:val="100"/>
          <w:sz w:val="21"/>
        </w:rPr>
        <w:t>用水，二次供水设备和自备水源供水的用水点的水质应符合《生活饮用水卫生标准</w:t>
      </w:r>
      <w:r>
        <w:rPr>
          <w:spacing w:val="-209"/>
          <w:w w:val="100"/>
          <w:sz w:val="21"/>
        </w:rPr>
        <w:t>》</w:t>
      </w:r>
      <w:r>
        <w:rPr>
          <w:w w:val="100"/>
          <w:sz w:val="21"/>
        </w:rPr>
        <w:t>（G</w:t>
      </w:r>
      <w:r>
        <w:rPr>
          <w:spacing w:val="-3"/>
          <w:w w:val="100"/>
          <w:sz w:val="21"/>
        </w:rPr>
        <w:t>B</w:t>
      </w:r>
      <w:r>
        <w:rPr>
          <w:w w:val="100"/>
          <w:sz w:val="21"/>
        </w:rPr>
        <w:t>574</w:t>
      </w:r>
      <w:r>
        <w:rPr>
          <w:spacing w:val="-1"/>
          <w:w w:val="100"/>
          <w:sz w:val="21"/>
        </w:rPr>
        <w:t>9</w:t>
      </w:r>
      <w:r>
        <w:rPr>
          <w:spacing w:val="-106"/>
          <w:w w:val="100"/>
          <w:sz w:val="21"/>
        </w:rPr>
        <w:t>）</w:t>
      </w:r>
      <w:r>
        <w:rPr>
          <w:w w:val="100"/>
          <w:sz w:val="21"/>
        </w:rPr>
        <w:t>,</w:t>
      </w:r>
      <w:r>
        <w:rPr>
          <w:spacing w:val="-3"/>
          <w:sz w:val="21"/>
        </w:rPr>
        <w:t>并取得当地卫生部门水质检验合格报告。桶装饮用水或其他类型直接供饮用的饮水应符合</w:t>
      </w:r>
    </w:p>
    <w:p>
      <w:pPr>
        <w:pStyle w:val="BodyText"/>
        <w:spacing w:line="417" w:lineRule="auto"/>
        <w:ind w:left="180" w:right="211"/>
        <w:jc w:val="both"/>
      </w:pPr>
      <w:r>
        <w:rPr>
          <w:spacing w:val="-3"/>
          <w:w w:val="100"/>
        </w:rPr>
        <w:t>《生活饮用水卫生标准</w:t>
      </w:r>
      <w:r>
        <w:rPr>
          <w:spacing w:val="-130"/>
          <w:w w:val="100"/>
        </w:rPr>
        <w:t>》</w:t>
      </w:r>
      <w:r>
        <w:rPr>
          <w:spacing w:val="-3"/>
          <w:w w:val="100"/>
        </w:rPr>
        <w:t>（</w:t>
      </w:r>
      <w:r>
        <w:rPr>
          <w:w w:val="100"/>
        </w:rPr>
        <w:t>GB574</w:t>
      </w:r>
      <w:r>
        <w:rPr>
          <w:spacing w:val="-3"/>
          <w:w w:val="100"/>
        </w:rPr>
        <w:t>9</w:t>
      </w:r>
      <w:r>
        <w:rPr>
          <w:spacing w:val="-106"/>
          <w:w w:val="100"/>
        </w:rPr>
        <w:t>）</w:t>
      </w:r>
      <w:r>
        <w:rPr>
          <w:spacing w:val="-16"/>
          <w:w w:val="100"/>
        </w:rPr>
        <w:t>、《饮用净水水质标准</w:t>
      </w:r>
      <w:r>
        <w:rPr>
          <w:spacing w:val="-132"/>
          <w:w w:val="100"/>
        </w:rPr>
        <w:t>》</w:t>
      </w:r>
      <w:r>
        <w:rPr>
          <w:w w:val="100"/>
        </w:rPr>
        <w:t>（CJ</w:t>
      </w:r>
      <w:r>
        <w:rPr>
          <w:spacing w:val="-3"/>
          <w:w w:val="100"/>
        </w:rPr>
        <w:t>9</w:t>
      </w:r>
      <w:r>
        <w:rPr>
          <w:spacing w:val="-1"/>
          <w:w w:val="100"/>
        </w:rPr>
        <w:t>4</w:t>
      </w:r>
      <w:r>
        <w:rPr>
          <w:spacing w:val="-25"/>
          <w:w w:val="100"/>
        </w:rPr>
        <w:t>）</w:t>
      </w:r>
      <w:r>
        <w:rPr>
          <w:spacing w:val="-3"/>
          <w:w w:val="100"/>
        </w:rPr>
        <w:t>等国家相关标准和卫生要</w:t>
      </w:r>
      <w:r>
        <w:rPr>
          <w:spacing w:val="-11"/>
        </w:rPr>
        <w:t>求，并取得检验合格报告。根据学校和机构规模、学生数量以及传染病防控要求储备一定数</w:t>
      </w:r>
      <w:r>
        <w:rPr>
          <w:spacing w:val="-6"/>
        </w:rPr>
        <w:t>量的消毒物资。</w:t>
      </w:r>
    </w:p>
    <w:p>
      <w:pPr>
        <w:pStyle w:val="Heading3"/>
      </w:pPr>
      <w:r>
        <w:rPr/>
        <w:t>（二）人员健康管理</w:t>
      </w:r>
    </w:p>
    <w:p>
      <w:pPr>
        <w:pStyle w:val="BodyText"/>
        <w:spacing w:before="6"/>
        <w:rPr>
          <w:b/>
          <w:sz w:val="15"/>
        </w:rPr>
      </w:pPr>
    </w:p>
    <w:p>
      <w:pPr>
        <w:pStyle w:val="ListParagraph"/>
        <w:numPr>
          <w:ilvl w:val="0"/>
          <w:numId w:val="6"/>
        </w:numPr>
        <w:tabs>
          <w:tab w:pos="825" w:val="left" w:leader="none"/>
        </w:tabs>
        <w:spacing w:line="417" w:lineRule="auto" w:before="0" w:after="0"/>
        <w:ind w:left="180" w:right="105" w:firstLine="431"/>
        <w:jc w:val="left"/>
        <w:rPr>
          <w:sz w:val="21"/>
        </w:rPr>
      </w:pPr>
      <w:r>
        <w:rPr>
          <w:spacing w:val="-2"/>
          <w:sz w:val="21"/>
        </w:rPr>
        <w:t>在校</w:t>
      </w:r>
      <w:r>
        <w:rPr>
          <w:sz w:val="21"/>
        </w:rPr>
        <w:t>（</w:t>
      </w:r>
      <w:r>
        <w:rPr>
          <w:spacing w:val="-3"/>
          <w:sz w:val="21"/>
        </w:rPr>
        <w:t>园</w:t>
      </w:r>
      <w:r>
        <w:rPr>
          <w:sz w:val="21"/>
        </w:rPr>
        <w:t>）</w:t>
      </w:r>
      <w:r>
        <w:rPr>
          <w:spacing w:val="-3"/>
          <w:sz w:val="21"/>
        </w:rPr>
        <w:t>教职员工、食品工作人员、保洁员、校车驾驶员等人员中的传染病患者、</w:t>
      </w:r>
      <w:r>
        <w:rPr>
          <w:spacing w:val="-9"/>
          <w:sz w:val="21"/>
        </w:rPr>
        <w:t>疑似传染病患者和病原携带者，在其传染期内或者在排除传染病前，学校和托幼机构不得安</w:t>
      </w:r>
      <w:r>
        <w:rPr>
          <w:spacing w:val="-12"/>
          <w:sz w:val="21"/>
        </w:rPr>
        <w:t>排其从事法律、法规和国务院卫生行政部门规定禁止从事的易使该传染病扩散的工作。托幼</w:t>
      </w:r>
      <w:r>
        <w:rPr>
          <w:spacing w:val="-11"/>
          <w:sz w:val="21"/>
        </w:rPr>
        <w:t>机构从业人员必须持有《托幼机构工作人员健康合格证》上岗，食品从业人员必须持有《食</w:t>
      </w:r>
      <w:r>
        <w:rPr>
          <w:spacing w:val="-16"/>
          <w:sz w:val="21"/>
        </w:rPr>
        <w:t>品从业人员健康合格证》</w:t>
      </w:r>
      <w:r>
        <w:rPr>
          <w:spacing w:val="-3"/>
          <w:sz w:val="21"/>
        </w:rPr>
        <w:t>（</w:t>
      </w:r>
      <w:r>
        <w:rPr>
          <w:spacing w:val="-1"/>
          <w:sz w:val="21"/>
        </w:rPr>
        <w:t>有效期内</w:t>
      </w:r>
      <w:r>
        <w:rPr>
          <w:spacing w:val="-3"/>
          <w:sz w:val="21"/>
        </w:rPr>
        <w:t>）</w:t>
      </w:r>
      <w:r>
        <w:rPr>
          <w:spacing w:val="-2"/>
          <w:sz w:val="21"/>
        </w:rPr>
        <w:t>上岗。</w:t>
      </w:r>
    </w:p>
    <w:p>
      <w:pPr>
        <w:pStyle w:val="ListParagraph"/>
        <w:numPr>
          <w:ilvl w:val="0"/>
          <w:numId w:val="6"/>
        </w:numPr>
        <w:tabs>
          <w:tab w:pos="825" w:val="left" w:leader="none"/>
        </w:tabs>
        <w:spacing w:line="417" w:lineRule="auto" w:before="0" w:after="0"/>
        <w:ind w:left="180" w:right="211" w:firstLine="431"/>
        <w:jc w:val="both"/>
        <w:rPr>
          <w:sz w:val="21"/>
        </w:rPr>
      </w:pPr>
      <w:r>
        <w:rPr>
          <w:spacing w:val="-5"/>
          <w:sz w:val="21"/>
        </w:rPr>
        <w:t>学校和托幼机构要按照有关规定开展入学</w:t>
      </w:r>
      <w:r>
        <w:rPr>
          <w:spacing w:val="-3"/>
          <w:sz w:val="21"/>
        </w:rPr>
        <w:t>（</w:t>
      </w:r>
      <w:r>
        <w:rPr>
          <w:sz w:val="21"/>
        </w:rPr>
        <w:t>入托</w:t>
      </w:r>
      <w:r>
        <w:rPr>
          <w:spacing w:val="-39"/>
          <w:sz w:val="21"/>
        </w:rPr>
        <w:t>）</w:t>
      </w:r>
      <w:r>
        <w:rPr>
          <w:spacing w:val="-7"/>
          <w:sz w:val="21"/>
        </w:rPr>
        <w:t>查验预防接种证工作，发现未依照</w:t>
      </w:r>
      <w:r>
        <w:rPr>
          <w:spacing w:val="-8"/>
          <w:sz w:val="21"/>
        </w:rPr>
        <w:t>国家和省免疫规划受种的学生，应当向所在地县</w:t>
      </w:r>
      <w:r>
        <w:rPr>
          <w:spacing w:val="-3"/>
          <w:sz w:val="21"/>
        </w:rPr>
        <w:t>（</w:t>
      </w:r>
      <w:r>
        <w:rPr>
          <w:spacing w:val="-9"/>
          <w:sz w:val="21"/>
        </w:rPr>
        <w:t>市、区</w:t>
      </w:r>
      <w:r>
        <w:rPr>
          <w:spacing w:val="-24"/>
          <w:sz w:val="21"/>
        </w:rPr>
        <w:t>）</w:t>
      </w:r>
      <w:r>
        <w:rPr>
          <w:spacing w:val="-3"/>
          <w:sz w:val="21"/>
        </w:rPr>
        <w:t>级疾病预防控制机构或学生居住</w:t>
      </w:r>
      <w:r>
        <w:rPr>
          <w:spacing w:val="-9"/>
          <w:sz w:val="21"/>
        </w:rPr>
        <w:t>地承担预防接种工作的接种单位报告，并配合疾病预防控制机构或接种单位督促监护人在学</w:t>
      </w:r>
      <w:r>
        <w:rPr>
          <w:spacing w:val="-5"/>
          <w:sz w:val="21"/>
        </w:rPr>
        <w:t>生入学后及时预防接种。</w:t>
      </w:r>
    </w:p>
    <w:p>
      <w:pPr>
        <w:pStyle w:val="Heading3"/>
      </w:pPr>
      <w:r>
        <w:rPr/>
        <w:t>三、传染病疫情的监测和报告</w:t>
      </w:r>
    </w:p>
    <w:p>
      <w:pPr>
        <w:pStyle w:val="BodyText"/>
        <w:spacing w:before="6"/>
        <w:rPr>
          <w:b/>
          <w:sz w:val="15"/>
        </w:rPr>
      </w:pPr>
    </w:p>
    <w:p>
      <w:pPr>
        <w:pStyle w:val="BodyText"/>
        <w:spacing w:line="417" w:lineRule="auto"/>
        <w:ind w:left="180" w:right="131" w:firstLine="419"/>
      </w:pPr>
      <w:r>
        <w:rPr/>
        <w:t>学校和托幼机构应建立从学生到教师、到学校（托幼机构）疫情报告人、到学校（托幼机构）领导的传染病疫情和突发公共卫生事件的发现、登记和报告路径及制度。</w:t>
      </w:r>
    </w:p>
    <w:p>
      <w:pPr>
        <w:pStyle w:val="Heading3"/>
        <w:spacing w:line="269" w:lineRule="exact"/>
      </w:pPr>
      <w:r>
        <w:rPr/>
        <w:t>（一）传染病疫情监测</w:t>
      </w:r>
    </w:p>
    <w:p>
      <w:pPr>
        <w:spacing w:after="0" w:line="269" w:lineRule="exact"/>
        <w:sectPr>
          <w:pgSz w:w="11910" w:h="16840"/>
          <w:pgMar w:top="1480" w:bottom="280" w:left="1620" w:right="1580"/>
        </w:sectPr>
      </w:pPr>
    </w:p>
    <w:p>
      <w:pPr>
        <w:pStyle w:val="BodyText"/>
        <w:spacing w:line="417" w:lineRule="auto" w:before="41"/>
        <w:ind w:left="180" w:right="223" w:firstLine="419"/>
      </w:pPr>
      <w:r>
        <w:rPr>
          <w:spacing w:val="-3"/>
        </w:rPr>
        <w:t>中小学校和托幼机构应建立和实施学生晨检（上午第一节课前</w:t>
      </w:r>
      <w:r>
        <w:rPr>
          <w:spacing w:val="-106"/>
        </w:rPr>
        <w:t>）</w:t>
      </w:r>
      <w:r>
        <w:rPr>
          <w:spacing w:val="-3"/>
        </w:rPr>
        <w:t>、因病缺课登记和预警信息报告以及病因追查制度。学校和托幼机构的班级负责老师发现学生有传染病早期症状</w:t>
      </w:r>
    </w:p>
    <w:p>
      <w:pPr>
        <w:pStyle w:val="BodyText"/>
        <w:spacing w:line="417" w:lineRule="auto"/>
        <w:ind w:left="180" w:right="211"/>
        <w:jc w:val="both"/>
      </w:pPr>
      <w:r>
        <w:rPr/>
        <w:t>（</w:t>
      </w:r>
      <w:r>
        <w:rPr>
          <w:spacing w:val="-3"/>
        </w:rPr>
        <w:t>如发热、咳嗽、皮疹、腹泻、呕吐、黄疸、结膜出血等</w:t>
      </w:r>
      <w:r>
        <w:rPr>
          <w:spacing w:val="-106"/>
        </w:rPr>
        <w:t>）</w:t>
      </w:r>
      <w:r>
        <w:rPr>
          <w:spacing w:val="-3"/>
        </w:rPr>
        <w:t>、疑似患传染病以及因传染病缺</w:t>
      </w:r>
      <w:r>
        <w:rPr>
          <w:spacing w:val="-10"/>
        </w:rPr>
        <w:t>课等情况时，应及时报告给学校疫情报告人，并第一时间通知家长尽快接患儿就医，同时做</w:t>
      </w:r>
      <w:r>
        <w:rPr>
          <w:spacing w:val="-11"/>
        </w:rPr>
        <w:t>好患儿诊断的追踪和登记工作。传染病流行时期应在下午第一节课前增加午检，住宿制学校</w:t>
      </w:r>
      <w:r>
        <w:rPr>
          <w:spacing w:val="-6"/>
        </w:rPr>
        <w:t>应对住校学生进行晚检。</w:t>
      </w:r>
    </w:p>
    <w:p>
      <w:pPr>
        <w:pStyle w:val="BodyText"/>
        <w:spacing w:line="417" w:lineRule="auto"/>
        <w:ind w:left="180" w:right="211" w:firstLine="429"/>
      </w:pPr>
      <w:r>
        <w:rPr>
          <w:spacing w:val="-13"/>
        </w:rPr>
        <w:t>普通高等学校、中等职业学校、特殊教育学校等应根据自身情况建立健全传染病疫情的</w:t>
      </w:r>
      <w:r>
        <w:rPr>
          <w:spacing w:val="-6"/>
        </w:rPr>
        <w:t>早发现制度和监测报告制度。</w:t>
      </w:r>
    </w:p>
    <w:p>
      <w:pPr>
        <w:pStyle w:val="Heading3"/>
      </w:pPr>
      <w:r>
        <w:rPr/>
        <w:t>（二）传染病疫情报告</w:t>
      </w:r>
    </w:p>
    <w:p>
      <w:pPr>
        <w:pStyle w:val="BodyText"/>
        <w:spacing w:before="6"/>
        <w:rPr>
          <w:b/>
          <w:sz w:val="15"/>
        </w:rPr>
      </w:pPr>
    </w:p>
    <w:p>
      <w:pPr>
        <w:pStyle w:val="ListParagraph"/>
        <w:numPr>
          <w:ilvl w:val="0"/>
          <w:numId w:val="7"/>
        </w:numPr>
        <w:tabs>
          <w:tab w:pos="825" w:val="left" w:leader="none"/>
        </w:tabs>
        <w:spacing w:line="417" w:lineRule="auto" w:before="0" w:after="0"/>
        <w:ind w:left="180" w:right="316" w:firstLine="431"/>
        <w:jc w:val="left"/>
        <w:rPr>
          <w:sz w:val="21"/>
        </w:rPr>
      </w:pPr>
      <w:r>
        <w:rPr>
          <w:spacing w:val="-3"/>
          <w:sz w:val="21"/>
        </w:rPr>
        <w:t>学校和托幼机构的校医或保健老师应及时对疑似传染病病例进行排查和登记，通过“江苏省学生健康监测系统”对因病缺课学生信息进行网络报告。</w:t>
      </w:r>
    </w:p>
    <w:p>
      <w:pPr>
        <w:pStyle w:val="ListParagraph"/>
        <w:numPr>
          <w:ilvl w:val="0"/>
          <w:numId w:val="7"/>
        </w:numPr>
        <w:tabs>
          <w:tab w:pos="815" w:val="left" w:leader="none"/>
        </w:tabs>
        <w:spacing w:line="417" w:lineRule="auto" w:before="0" w:after="0"/>
        <w:ind w:left="180" w:right="213" w:firstLine="422"/>
        <w:jc w:val="left"/>
        <w:rPr>
          <w:sz w:val="21"/>
        </w:rPr>
      </w:pPr>
      <w:r>
        <w:rPr>
          <w:spacing w:val="-9"/>
          <w:sz w:val="21"/>
        </w:rPr>
        <w:t>发生法定传染病疫情或突发公共卫生事件时，学校和托幼机构疫情报告人应在 </w:t>
      </w:r>
      <w:r>
        <w:rPr>
          <w:sz w:val="21"/>
        </w:rPr>
        <w:t>2</w:t>
      </w:r>
      <w:r>
        <w:rPr>
          <w:spacing w:val="-14"/>
          <w:sz w:val="21"/>
        </w:rPr>
        <w:t> 小时</w:t>
      </w:r>
      <w:r>
        <w:rPr>
          <w:spacing w:val="-3"/>
          <w:sz w:val="21"/>
        </w:rPr>
        <w:t>内向属地疾病预防控制机构和教育行政部门报告。</w:t>
      </w:r>
    </w:p>
    <w:p>
      <w:pPr>
        <w:pStyle w:val="ListParagraph"/>
        <w:numPr>
          <w:ilvl w:val="0"/>
          <w:numId w:val="7"/>
        </w:numPr>
        <w:tabs>
          <w:tab w:pos="823" w:val="left" w:leader="none"/>
        </w:tabs>
        <w:spacing w:line="417" w:lineRule="auto" w:before="0" w:after="0"/>
        <w:ind w:left="180" w:right="213" w:firstLine="429"/>
        <w:jc w:val="left"/>
        <w:rPr>
          <w:sz w:val="21"/>
        </w:rPr>
      </w:pPr>
      <w:r>
        <w:rPr>
          <w:spacing w:val="-5"/>
          <w:sz w:val="21"/>
        </w:rPr>
        <w:t>出现以下任一情况时，学校传染病疫情报告人应在 </w:t>
      </w:r>
      <w:r>
        <w:rPr>
          <w:sz w:val="21"/>
        </w:rPr>
        <w:t>24</w:t>
      </w:r>
      <w:r>
        <w:rPr>
          <w:spacing w:val="-8"/>
          <w:sz w:val="21"/>
        </w:rPr>
        <w:t> 小时内向属地疾病预防控制机</w:t>
      </w:r>
      <w:r>
        <w:rPr>
          <w:spacing w:val="-5"/>
          <w:sz w:val="21"/>
        </w:rPr>
        <w:t>构或指定的基层医疗机构和辖区教育行政部门报告：</w:t>
      </w:r>
    </w:p>
    <w:p>
      <w:pPr>
        <w:pStyle w:val="ListParagraph"/>
        <w:numPr>
          <w:ilvl w:val="0"/>
          <w:numId w:val="8"/>
        </w:numPr>
        <w:tabs>
          <w:tab w:pos="1130" w:val="left" w:leader="none"/>
        </w:tabs>
        <w:spacing w:line="240" w:lineRule="auto" w:before="0" w:after="0"/>
        <w:ind w:left="1129" w:right="0" w:hanging="530"/>
        <w:jc w:val="left"/>
        <w:rPr>
          <w:sz w:val="21"/>
        </w:rPr>
      </w:pPr>
      <w:r>
        <w:rPr>
          <w:spacing w:val="-3"/>
          <w:sz w:val="21"/>
        </w:rPr>
        <w:t>同一宿舍或者同一班级</w:t>
      </w:r>
      <w:r>
        <w:rPr>
          <w:sz w:val="21"/>
        </w:rPr>
        <w:t>，1</w:t>
      </w:r>
      <w:r>
        <w:rPr>
          <w:spacing w:val="-22"/>
          <w:sz w:val="21"/>
        </w:rPr>
        <w:t> 天内有 </w:t>
      </w:r>
      <w:r>
        <w:rPr>
          <w:sz w:val="21"/>
        </w:rPr>
        <w:t>3</w:t>
      </w:r>
      <w:r>
        <w:rPr>
          <w:spacing w:val="-19"/>
          <w:sz w:val="21"/>
        </w:rPr>
        <w:t> 例或连续 </w:t>
      </w:r>
      <w:r>
        <w:rPr>
          <w:sz w:val="21"/>
        </w:rPr>
        <w:t>3</w:t>
      </w:r>
      <w:r>
        <w:rPr>
          <w:spacing w:val="-22"/>
          <w:sz w:val="21"/>
        </w:rPr>
        <w:t> 天内有 </w:t>
      </w:r>
      <w:r>
        <w:rPr>
          <w:sz w:val="21"/>
        </w:rPr>
        <w:t>5</w:t>
      </w:r>
      <w:r>
        <w:rPr>
          <w:spacing w:val="-8"/>
          <w:sz w:val="21"/>
        </w:rPr>
        <w:t> 例或以上具有相似症状</w:t>
      </w:r>
    </w:p>
    <w:p>
      <w:pPr>
        <w:pStyle w:val="BodyText"/>
        <w:spacing w:before="6"/>
        <w:rPr>
          <w:sz w:val="15"/>
        </w:rPr>
      </w:pPr>
    </w:p>
    <w:p>
      <w:pPr>
        <w:pStyle w:val="BodyText"/>
        <w:ind w:left="180"/>
      </w:pPr>
      <w:r>
        <w:rPr/>
        <w:t>（如发热、皮疹、腹泻、呕吐、黄疸、结膜出血等）或者有共同用餐、饮水史。</w:t>
      </w:r>
    </w:p>
    <w:p>
      <w:pPr>
        <w:pStyle w:val="BodyText"/>
        <w:spacing w:before="7"/>
        <w:rPr>
          <w:sz w:val="15"/>
        </w:rPr>
      </w:pPr>
    </w:p>
    <w:p>
      <w:pPr>
        <w:pStyle w:val="ListParagraph"/>
        <w:numPr>
          <w:ilvl w:val="0"/>
          <w:numId w:val="8"/>
        </w:numPr>
        <w:tabs>
          <w:tab w:pos="1130" w:val="left" w:leader="none"/>
        </w:tabs>
        <w:spacing w:line="240" w:lineRule="auto" w:before="0" w:after="0"/>
        <w:ind w:left="1129" w:right="0" w:hanging="530"/>
        <w:jc w:val="left"/>
        <w:rPr>
          <w:sz w:val="21"/>
        </w:rPr>
      </w:pPr>
      <w:r>
        <w:rPr>
          <w:spacing w:val="-3"/>
          <w:sz w:val="21"/>
        </w:rPr>
        <w:t>个别学生出现不明原因的高热、呼吸急促或剧烈呕吐、腹泻等症状。</w:t>
      </w:r>
    </w:p>
    <w:p>
      <w:pPr>
        <w:pStyle w:val="BodyText"/>
        <w:spacing w:before="7"/>
        <w:rPr>
          <w:sz w:val="15"/>
        </w:rPr>
      </w:pPr>
    </w:p>
    <w:p>
      <w:pPr>
        <w:pStyle w:val="ListParagraph"/>
        <w:numPr>
          <w:ilvl w:val="0"/>
          <w:numId w:val="8"/>
        </w:numPr>
        <w:tabs>
          <w:tab w:pos="1130" w:val="left" w:leader="none"/>
        </w:tabs>
        <w:spacing w:line="417" w:lineRule="auto" w:before="0" w:after="0"/>
        <w:ind w:left="602" w:right="2323" w:hanging="3"/>
        <w:jc w:val="left"/>
        <w:rPr>
          <w:b/>
          <w:sz w:val="21"/>
        </w:rPr>
      </w:pPr>
      <w:r>
        <w:rPr>
          <w:spacing w:val="-3"/>
          <w:sz w:val="21"/>
        </w:rPr>
        <w:t>学校发生群体性不明原因疾病或其他突发公共卫生事件。</w:t>
      </w:r>
      <w:r>
        <w:rPr>
          <w:b/>
          <w:spacing w:val="-3"/>
          <w:sz w:val="21"/>
        </w:rPr>
        <w:t>四、传染病疫情控制</w:t>
      </w:r>
    </w:p>
    <w:p>
      <w:pPr>
        <w:pStyle w:val="Heading3"/>
        <w:spacing w:line="269" w:lineRule="exact"/>
        <w:ind w:left="602"/>
      </w:pPr>
      <w:r>
        <w:rPr/>
        <w:t>（一）疫情调查</w:t>
      </w:r>
    </w:p>
    <w:p>
      <w:pPr>
        <w:pStyle w:val="BodyText"/>
        <w:spacing w:before="6"/>
        <w:rPr>
          <w:b/>
          <w:sz w:val="15"/>
        </w:rPr>
      </w:pPr>
    </w:p>
    <w:p>
      <w:pPr>
        <w:pStyle w:val="BodyText"/>
        <w:spacing w:line="417" w:lineRule="auto" w:before="1"/>
        <w:ind w:left="180" w:right="213" w:firstLine="525"/>
      </w:pPr>
      <w:r>
        <w:rPr/>
        <w:t>学校应配合辖区疾病预防控制机构对相关人员进行流行病学调查工作，配合属地疾病预防控制机构对相关人员、相关食品、水样和其它环境标本等进行采集工作。</w:t>
      </w:r>
    </w:p>
    <w:p>
      <w:pPr>
        <w:pStyle w:val="Heading3"/>
        <w:ind w:left="602"/>
      </w:pPr>
      <w:r>
        <w:rPr/>
        <w:t>（二）疫情控制</w:t>
      </w:r>
    </w:p>
    <w:p>
      <w:pPr>
        <w:pStyle w:val="BodyText"/>
        <w:spacing w:before="7"/>
        <w:rPr>
          <w:b/>
          <w:sz w:val="15"/>
        </w:rPr>
      </w:pPr>
    </w:p>
    <w:p>
      <w:pPr>
        <w:spacing w:line="417" w:lineRule="auto" w:before="0"/>
        <w:ind w:left="602" w:right="1377" w:hanging="3"/>
        <w:jc w:val="left"/>
        <w:rPr>
          <w:b/>
          <w:sz w:val="21"/>
        </w:rPr>
      </w:pPr>
      <w:r>
        <w:rPr>
          <w:sz w:val="21"/>
        </w:rPr>
        <w:t>学校和托幼机构应在疾病预防控制机构的指导下落实各项疫情控制措施。</w:t>
      </w:r>
      <w:r>
        <w:rPr>
          <w:b/>
          <w:sz w:val="21"/>
        </w:rPr>
        <w:t>1.控制传染源（病例和密切接触者管理）</w:t>
      </w:r>
    </w:p>
    <w:p>
      <w:pPr>
        <w:pStyle w:val="ListParagraph"/>
        <w:numPr>
          <w:ilvl w:val="0"/>
          <w:numId w:val="9"/>
        </w:numPr>
        <w:tabs>
          <w:tab w:pos="1208" w:val="left" w:leader="none"/>
        </w:tabs>
        <w:spacing w:line="417" w:lineRule="auto" w:before="0" w:after="0"/>
        <w:ind w:left="180" w:right="105" w:firstLine="429"/>
        <w:jc w:val="left"/>
        <w:rPr>
          <w:sz w:val="21"/>
        </w:rPr>
      </w:pPr>
      <w:r>
        <w:rPr>
          <w:spacing w:val="-8"/>
          <w:sz w:val="21"/>
        </w:rPr>
        <w:t>学校和托幼机构在学生、教职员工、食品从业人员和其它人员中发现确诊或疑似</w:t>
      </w:r>
      <w:r>
        <w:rPr>
          <w:spacing w:val="-11"/>
          <w:sz w:val="21"/>
        </w:rPr>
        <w:t>传染病患者时应立即要求其进行隔离</w:t>
      </w:r>
      <w:r>
        <w:rPr>
          <w:spacing w:val="-3"/>
          <w:sz w:val="21"/>
        </w:rPr>
        <w:t>（居家隔离或住院隔离</w:t>
      </w:r>
      <w:r>
        <w:rPr>
          <w:spacing w:val="-101"/>
          <w:sz w:val="21"/>
        </w:rPr>
        <w:t>）</w:t>
      </w:r>
      <w:r>
        <w:rPr>
          <w:spacing w:val="-3"/>
          <w:sz w:val="21"/>
        </w:rPr>
        <w:t>至传染期过后方可复课或复工。学生疑似患传染病时应及时通知其家长或监护人送患者就医，并做好疾病诊断的随访记录。</w:t>
      </w:r>
      <w:r>
        <w:rPr>
          <w:spacing w:val="-7"/>
          <w:sz w:val="21"/>
        </w:rPr>
        <w:t>对于需要开具复课复工证明方可返校的患者，班主任或校医</w:t>
      </w:r>
      <w:r>
        <w:rPr>
          <w:sz w:val="21"/>
        </w:rPr>
        <w:t>（</w:t>
      </w:r>
      <w:r>
        <w:rPr>
          <w:spacing w:val="-3"/>
          <w:sz w:val="21"/>
        </w:rPr>
        <w:t>保健老师</w:t>
      </w:r>
      <w:r>
        <w:rPr>
          <w:spacing w:val="-34"/>
          <w:sz w:val="21"/>
        </w:rPr>
        <w:t>）</w:t>
      </w:r>
      <w:r>
        <w:rPr>
          <w:spacing w:val="-3"/>
          <w:sz w:val="21"/>
        </w:rPr>
        <w:t>应提前告知其开具</w:t>
      </w:r>
    </w:p>
    <w:p>
      <w:pPr>
        <w:spacing w:after="0" w:line="417" w:lineRule="auto"/>
        <w:jc w:val="left"/>
        <w:rPr>
          <w:sz w:val="21"/>
        </w:rPr>
        <w:sectPr>
          <w:pgSz w:w="11910" w:h="16840"/>
          <w:pgMar w:top="1480" w:bottom="280" w:left="1620" w:right="1580"/>
        </w:sectPr>
      </w:pPr>
    </w:p>
    <w:p>
      <w:pPr>
        <w:pStyle w:val="BodyText"/>
        <w:spacing w:line="417" w:lineRule="auto" w:before="41"/>
        <w:ind w:left="180" w:right="211"/>
      </w:pPr>
      <w:r>
        <w:rPr>
          <w:spacing w:val="-11"/>
        </w:rPr>
        <w:t>程序和查验程序。普通高等学校、中等职业学校、特殊教育学校等应根据自身情况建立健全</w:t>
      </w:r>
      <w:r>
        <w:rPr>
          <w:spacing w:val="-6"/>
        </w:rPr>
        <w:t>传染病患者的隔离和复课复工制度。</w:t>
      </w:r>
    </w:p>
    <w:p>
      <w:pPr>
        <w:pStyle w:val="ListParagraph"/>
        <w:numPr>
          <w:ilvl w:val="0"/>
          <w:numId w:val="9"/>
        </w:numPr>
        <w:tabs>
          <w:tab w:pos="1130" w:val="left" w:leader="none"/>
        </w:tabs>
        <w:spacing w:line="417" w:lineRule="auto" w:before="0" w:after="0"/>
        <w:ind w:left="180" w:right="216" w:firstLine="419"/>
        <w:jc w:val="left"/>
        <w:rPr>
          <w:sz w:val="21"/>
        </w:rPr>
      </w:pPr>
      <w:r>
        <w:rPr>
          <w:spacing w:val="-3"/>
          <w:sz w:val="21"/>
        </w:rPr>
        <w:t>各地应建立健全适合本地区实际情况的学校和托幼机构传染病患者复课复工证明开具和查验制度，患者须病愈且隔离期满后方可复课复工。</w:t>
      </w:r>
    </w:p>
    <w:p>
      <w:pPr>
        <w:pStyle w:val="BodyText"/>
        <w:spacing w:line="417" w:lineRule="auto"/>
        <w:ind w:left="180" w:right="211" w:firstLine="419"/>
      </w:pPr>
      <w:r>
        <w:rPr>
          <w:spacing w:val="-8"/>
        </w:rPr>
        <w:t>复课复工证明开具程序可结合当地实际情况制定，以下程序可供参考，但不限于以下几种：</w:t>
      </w:r>
    </w:p>
    <w:p>
      <w:pPr>
        <w:pStyle w:val="BodyText"/>
        <w:spacing w:line="269" w:lineRule="exact"/>
        <w:ind w:left="600"/>
      </w:pPr>
      <w:r>
        <w:rPr/>
        <w:t>① 由患者所在社区卫生服务中心或乡镇卫生院查验病历等相关就诊证明后开具。</w:t>
      </w:r>
    </w:p>
    <w:p>
      <w:pPr>
        <w:pStyle w:val="BodyText"/>
        <w:spacing w:before="6"/>
        <w:rPr>
          <w:sz w:val="15"/>
        </w:rPr>
      </w:pPr>
    </w:p>
    <w:p>
      <w:pPr>
        <w:pStyle w:val="BodyText"/>
        <w:ind w:left="600"/>
      </w:pPr>
      <w:r>
        <w:rPr/>
        <w:t>② 病愈后去接诊医院复诊并开具。</w:t>
      </w:r>
    </w:p>
    <w:p>
      <w:pPr>
        <w:pStyle w:val="BodyText"/>
        <w:spacing w:before="8"/>
        <w:rPr>
          <w:sz w:val="15"/>
        </w:rPr>
      </w:pPr>
    </w:p>
    <w:p>
      <w:pPr>
        <w:pStyle w:val="BodyText"/>
        <w:ind w:left="600"/>
      </w:pPr>
      <w:r>
        <w:rPr/>
        <w:t>③ 由辖区县（市、区）疾病预防控制中心查验后出具。</w:t>
      </w:r>
    </w:p>
    <w:p>
      <w:pPr>
        <w:pStyle w:val="BodyText"/>
        <w:spacing w:before="6"/>
        <w:rPr>
          <w:sz w:val="15"/>
        </w:rPr>
      </w:pPr>
    </w:p>
    <w:p>
      <w:pPr>
        <w:pStyle w:val="BodyText"/>
        <w:spacing w:line="417" w:lineRule="auto"/>
        <w:ind w:left="180" w:right="211" w:firstLine="419"/>
      </w:pPr>
      <w:r>
        <w:rPr>
          <w:spacing w:val="-9"/>
        </w:rPr>
        <w:t>复课复工证明应加盖公章，一式两联，一联由患者递交学校指定部门留存，一联由开具</w:t>
      </w:r>
      <w:r>
        <w:rPr>
          <w:spacing w:val="-5"/>
        </w:rPr>
        <w:t>单位留存。</w:t>
      </w:r>
    </w:p>
    <w:p>
      <w:pPr>
        <w:pStyle w:val="BodyText"/>
        <w:spacing w:line="417" w:lineRule="auto"/>
        <w:ind w:left="180" w:right="213" w:firstLine="419"/>
        <w:jc w:val="both"/>
      </w:pPr>
      <w:r>
        <w:rPr/>
        <w:t>复课复工查验制度：持有返校复课复工证明的病愈返校(园)患者应先到学校指定部门, 由校医或保健老师查验复课复工证明, 并现场观察和询问相关临床症状是否消失，包括发热、皮疹、腹泻、呕吐、黄疸、结膜出血等，同时做好登记工作。</w:t>
      </w:r>
    </w:p>
    <w:p>
      <w:pPr>
        <w:pStyle w:val="BodyText"/>
        <w:spacing w:line="417" w:lineRule="auto"/>
        <w:ind w:left="180" w:right="213" w:firstLine="419"/>
        <w:jc w:val="both"/>
      </w:pPr>
      <w:r>
        <w:rPr>
          <w:spacing w:val="-2"/>
        </w:rPr>
        <w:t>各设区市、县</w:t>
      </w:r>
      <w:r>
        <w:rPr/>
        <w:t>（</w:t>
      </w:r>
      <w:r>
        <w:rPr>
          <w:spacing w:val="-2"/>
        </w:rPr>
        <w:t>市、区</w:t>
      </w:r>
      <w:r>
        <w:rPr>
          <w:spacing w:val="-3"/>
        </w:rPr>
        <w:t>）卫生行政部门、教育行政部门应加强对此项工作的督导检查, </w:t>
      </w:r>
      <w:r>
        <w:rPr>
          <w:spacing w:val="-8"/>
        </w:rPr>
        <w:t>若发现因开具隔离期限未满等不规范复课复工证明、学校(托幼机构)把关不严,导致学校(托</w:t>
      </w:r>
      <w:r>
        <w:rPr>
          <w:spacing w:val="-9"/>
        </w:rPr>
        <w:t>幼机构)传染病暴发流行者,应及时通报卫生监督机构，对违法违规行为，一经查实，依法依</w:t>
      </w:r>
      <w:r>
        <w:rPr>
          <w:spacing w:val="-5"/>
        </w:rPr>
        <w:t>规追究相关责任。</w:t>
      </w:r>
    </w:p>
    <w:p>
      <w:pPr>
        <w:pStyle w:val="ListParagraph"/>
        <w:numPr>
          <w:ilvl w:val="0"/>
          <w:numId w:val="9"/>
        </w:numPr>
        <w:tabs>
          <w:tab w:pos="1139" w:val="left" w:leader="none"/>
        </w:tabs>
        <w:spacing w:line="417" w:lineRule="auto" w:before="0" w:after="0"/>
        <w:ind w:left="180" w:right="213" w:firstLine="429"/>
        <w:jc w:val="left"/>
        <w:rPr>
          <w:sz w:val="21"/>
        </w:rPr>
      </w:pPr>
      <w:r>
        <w:rPr>
          <w:spacing w:val="-3"/>
          <w:sz w:val="21"/>
        </w:rPr>
        <w:t>根据疫情需要，学校和托幼机构应配合卫生部门对传染病病例的密接接触者进行医学观察，做好随访记录，及时发现新病例。</w:t>
      </w:r>
    </w:p>
    <w:p>
      <w:pPr>
        <w:pStyle w:val="Heading3"/>
        <w:spacing w:line="269" w:lineRule="exact"/>
        <w:ind w:left="602"/>
      </w:pPr>
      <w:r>
        <w:rPr/>
        <w:t>2.切断传播途径</w:t>
      </w:r>
    </w:p>
    <w:p>
      <w:pPr>
        <w:pStyle w:val="BodyText"/>
        <w:spacing w:before="6"/>
        <w:rPr>
          <w:b/>
          <w:sz w:val="15"/>
        </w:rPr>
      </w:pPr>
    </w:p>
    <w:p>
      <w:pPr>
        <w:pStyle w:val="BodyText"/>
        <w:spacing w:line="417" w:lineRule="auto"/>
        <w:ind w:left="180" w:right="211" w:firstLine="525"/>
        <w:jc w:val="both"/>
      </w:pPr>
      <w:r>
        <w:rPr>
          <w:spacing w:val="-3"/>
        </w:rPr>
        <w:t>规范地进行环境消毒是切断传染病传播的重要途径。学校及托幼机构应对传染病在本</w:t>
      </w:r>
      <w:r>
        <w:rPr>
          <w:spacing w:val="-8"/>
        </w:rPr>
        <w:t>校</w:t>
      </w:r>
      <w:r>
        <w:rPr>
          <w:spacing w:val="-3"/>
        </w:rPr>
        <w:t>（园</w:t>
      </w:r>
      <w:r>
        <w:rPr>
          <w:spacing w:val="-8"/>
        </w:rPr>
        <w:t>）</w:t>
      </w:r>
      <w:r>
        <w:rPr>
          <w:spacing w:val="-6"/>
        </w:rPr>
        <w:t>的暴发流行保持警惕，参照附件 </w:t>
      </w:r>
      <w:r>
        <w:rPr>
          <w:spacing w:val="-10"/>
        </w:rPr>
        <w:t>5</w:t>
      </w:r>
      <w:r>
        <w:rPr>
          <w:spacing w:val="-4"/>
        </w:rPr>
        <w:t>《学校和托幼机构消毒物资建议储备清单》做好</w:t>
      </w:r>
      <w:r>
        <w:rPr>
          <w:spacing w:val="-8"/>
        </w:rPr>
        <w:t>消杀物资的储备工作。参照附件 </w:t>
      </w:r>
      <w:r>
        <w:rPr>
          <w:spacing w:val="-15"/>
        </w:rPr>
        <w:t>3</w:t>
      </w:r>
      <w:r>
        <w:rPr>
          <w:spacing w:val="-3"/>
        </w:rPr>
        <w:t>《学校和托幼机构环境和物品预防性消毒方法》和附件 </w:t>
      </w:r>
      <w:r>
        <w:rPr/>
        <w:t>4</w:t>
      </w:r>
    </w:p>
    <w:p>
      <w:pPr>
        <w:pStyle w:val="BodyText"/>
        <w:spacing w:line="417" w:lineRule="auto"/>
        <w:ind w:left="602" w:right="535" w:hanging="423"/>
        <w:rPr>
          <w:b/>
        </w:rPr>
      </w:pPr>
      <w:r>
        <w:rPr/>
        <w:t>《学校及托幼机构常见传染病暴发疫情终末消毒方法》做好日常消毒和疫情消毒工作。</w:t>
      </w:r>
      <w:r>
        <w:rPr>
          <w:b/>
        </w:rPr>
        <w:t>3.保护易感人群</w:t>
      </w:r>
    </w:p>
    <w:p>
      <w:pPr>
        <w:pStyle w:val="ListParagraph"/>
        <w:numPr>
          <w:ilvl w:val="0"/>
          <w:numId w:val="10"/>
        </w:numPr>
        <w:tabs>
          <w:tab w:pos="1130" w:val="left" w:leader="none"/>
        </w:tabs>
        <w:spacing w:line="417" w:lineRule="auto" w:before="0" w:after="0"/>
        <w:ind w:left="180" w:right="213" w:firstLine="419"/>
        <w:jc w:val="left"/>
        <w:rPr>
          <w:sz w:val="21"/>
        </w:rPr>
      </w:pPr>
      <w:r>
        <w:rPr>
          <w:spacing w:val="-3"/>
          <w:sz w:val="21"/>
        </w:rPr>
        <w:t>在传染病暴发、流行时，应根据卫生部门建议停止举办大型师生集会和会议，采取临时停课或暂时关闭措施。</w:t>
      </w:r>
    </w:p>
    <w:p>
      <w:pPr>
        <w:pStyle w:val="ListParagraph"/>
        <w:numPr>
          <w:ilvl w:val="0"/>
          <w:numId w:val="10"/>
        </w:numPr>
        <w:tabs>
          <w:tab w:pos="1130" w:val="left" w:leader="none"/>
        </w:tabs>
        <w:spacing w:line="417" w:lineRule="auto" w:before="0" w:after="0"/>
        <w:ind w:left="602" w:right="1274" w:hanging="3"/>
        <w:jc w:val="left"/>
        <w:rPr>
          <w:b/>
          <w:sz w:val="21"/>
        </w:rPr>
      </w:pPr>
      <w:r>
        <w:rPr>
          <w:spacing w:val="-3"/>
          <w:sz w:val="21"/>
        </w:rPr>
        <w:t>必要时，配合疾病预防控制机构对学校相关人群进行应急预防工作。</w:t>
      </w:r>
      <w:r>
        <w:rPr>
          <w:b/>
          <w:spacing w:val="-3"/>
          <w:sz w:val="21"/>
        </w:rPr>
        <w:t>五、奖励与处罚</w:t>
      </w:r>
    </w:p>
    <w:p>
      <w:pPr>
        <w:spacing w:after="0" w:line="417" w:lineRule="auto"/>
        <w:jc w:val="left"/>
        <w:rPr>
          <w:sz w:val="21"/>
        </w:rPr>
        <w:sectPr>
          <w:pgSz w:w="11910" w:h="16840"/>
          <w:pgMar w:top="1480" w:bottom="280" w:left="1620" w:right="1580"/>
        </w:sectPr>
      </w:pPr>
    </w:p>
    <w:p>
      <w:pPr>
        <w:pStyle w:val="BodyText"/>
        <w:spacing w:before="41"/>
        <w:ind w:left="610"/>
      </w:pPr>
      <w:r>
        <w:rPr/>
        <w:t>对在学校传染病防控工作中成绩显著的单位或个人要给予表彰、奖励。</w:t>
      </w:r>
    </w:p>
    <w:p>
      <w:pPr>
        <w:pStyle w:val="BodyText"/>
        <w:spacing w:before="7"/>
        <w:rPr>
          <w:sz w:val="15"/>
        </w:rPr>
      </w:pPr>
    </w:p>
    <w:p>
      <w:pPr>
        <w:pStyle w:val="BodyText"/>
        <w:spacing w:line="417" w:lineRule="auto"/>
        <w:ind w:left="180" w:right="211" w:firstLine="429"/>
      </w:pPr>
      <w:r>
        <w:rPr>
          <w:spacing w:val="-11"/>
        </w:rPr>
        <w:t>对未按照有关法律、法规和规范要求落实各项防控措施，报告不及时或处置不力等原因</w:t>
      </w:r>
      <w:r>
        <w:rPr>
          <w:spacing w:val="-6"/>
        </w:rPr>
        <w:t>造成疫情扩散的单位和个人进行问责，依法承担相应民事责任和追究刑事责任。</w:t>
      </w:r>
    </w:p>
    <w:p>
      <w:pPr>
        <w:pStyle w:val="BodyText"/>
        <w:spacing w:line="269" w:lineRule="exact"/>
        <w:ind w:left="600"/>
      </w:pPr>
      <w:r>
        <w:rPr>
          <w:spacing w:val="-16"/>
        </w:rPr>
        <w:t>本指引适用于普通中小学、中等职业学校、普通高等学校、特殊教育学校和托幼机构等。</w:t>
      </w:r>
    </w:p>
    <w:p>
      <w:pPr>
        <w:spacing w:after="0" w:line="269" w:lineRule="exact"/>
        <w:sectPr>
          <w:pgSz w:w="11910" w:h="16840"/>
          <w:pgMar w:top="1480" w:bottom="280" w:left="1620" w:right="1580"/>
        </w:sectPr>
      </w:pPr>
    </w:p>
    <w:p>
      <w:pPr>
        <w:spacing w:before="91"/>
        <w:ind w:left="180" w:right="0" w:firstLine="0"/>
        <w:jc w:val="left"/>
        <w:rPr>
          <w:rFonts w:ascii="创艺简中圆" w:eastAsia="创艺简中圆" w:hint="eastAsia"/>
          <w:sz w:val="28"/>
        </w:rPr>
      </w:pPr>
      <w:r>
        <w:rPr>
          <w:rFonts w:ascii="创艺简中圆" w:eastAsia="创艺简中圆" w:hint="eastAsia"/>
          <w:sz w:val="28"/>
        </w:rPr>
        <w:t>附件 1</w:t>
      </w:r>
    </w:p>
    <w:p>
      <w:pPr>
        <w:pStyle w:val="BodyText"/>
        <w:rPr>
          <w:rFonts w:ascii="创艺简中圆"/>
          <w:sz w:val="24"/>
        </w:rPr>
      </w:pPr>
      <w:r>
        <w:rPr/>
        <w:br w:type="column"/>
      </w:r>
      <w:r>
        <w:rPr>
          <w:rFonts w:ascii="创艺简中圆"/>
          <w:sz w:val="24"/>
        </w:rPr>
      </w:r>
    </w:p>
    <w:p>
      <w:pPr>
        <w:pStyle w:val="BodyText"/>
        <w:spacing w:before="6"/>
        <w:rPr>
          <w:rFonts w:ascii="创艺简中圆"/>
          <w:sz w:val="22"/>
        </w:rPr>
      </w:pPr>
    </w:p>
    <w:p>
      <w:pPr>
        <w:spacing w:before="0"/>
        <w:ind w:left="180" w:right="0" w:firstLine="0"/>
        <w:jc w:val="left"/>
        <w:rPr>
          <w:b/>
          <w:sz w:val="24"/>
        </w:rPr>
      </w:pPr>
      <w:r>
        <w:rPr>
          <w:b/>
          <w:sz w:val="24"/>
        </w:rPr>
        <w:t>学校常见突发公共卫生事件相关信息报告范围和标准</w:t>
      </w:r>
    </w:p>
    <w:p>
      <w:pPr>
        <w:spacing w:after="0"/>
        <w:jc w:val="left"/>
        <w:rPr>
          <w:sz w:val="24"/>
        </w:rPr>
        <w:sectPr>
          <w:pgSz w:w="11910" w:h="16840"/>
          <w:pgMar w:top="1460" w:bottom="280" w:left="1620" w:right="1580"/>
          <w:cols w:num="2" w:equalWidth="0">
            <w:col w:w="1008" w:space="374"/>
            <w:col w:w="7328"/>
          </w:cols>
        </w:sectPr>
      </w:pPr>
    </w:p>
    <w:p>
      <w:pPr>
        <w:spacing w:before="160"/>
        <w:ind w:left="180" w:right="0" w:firstLine="0"/>
        <w:jc w:val="left"/>
        <w:rPr>
          <w:b/>
          <w:sz w:val="24"/>
        </w:rPr>
      </w:pPr>
      <w:r>
        <w:rPr>
          <w:b/>
          <w:sz w:val="24"/>
        </w:rPr>
        <w:t>*摘自《国家突发公共卫生事件相关信息报告管理工作规范》</w:t>
      </w:r>
    </w:p>
    <w:p>
      <w:pPr>
        <w:pStyle w:val="ListParagraph"/>
        <w:numPr>
          <w:ilvl w:val="0"/>
          <w:numId w:val="11"/>
        </w:numPr>
        <w:tabs>
          <w:tab w:pos="393" w:val="left" w:leader="none"/>
        </w:tabs>
        <w:spacing w:line="240" w:lineRule="auto" w:before="181" w:after="0"/>
        <w:ind w:left="392" w:right="0" w:hanging="213"/>
        <w:jc w:val="left"/>
        <w:rPr>
          <w:sz w:val="21"/>
        </w:rPr>
      </w:pPr>
      <w:r>
        <w:rPr>
          <w:spacing w:val="-12"/>
          <w:sz w:val="21"/>
        </w:rPr>
        <w:t>霍乱：发现 </w:t>
      </w:r>
      <w:r>
        <w:rPr>
          <w:sz w:val="21"/>
        </w:rPr>
        <w:t>1</w:t>
      </w:r>
      <w:r>
        <w:rPr>
          <w:spacing w:val="-3"/>
          <w:sz w:val="21"/>
        </w:rPr>
        <w:t> 例及以上霍乱病例。</w:t>
      </w:r>
    </w:p>
    <w:p>
      <w:pPr>
        <w:pStyle w:val="BodyText"/>
        <w:spacing w:before="7"/>
        <w:rPr>
          <w:sz w:val="15"/>
        </w:rPr>
      </w:pPr>
    </w:p>
    <w:p>
      <w:pPr>
        <w:pStyle w:val="ListParagraph"/>
        <w:numPr>
          <w:ilvl w:val="0"/>
          <w:numId w:val="11"/>
        </w:numPr>
        <w:tabs>
          <w:tab w:pos="393" w:val="left" w:leader="none"/>
        </w:tabs>
        <w:spacing w:line="417" w:lineRule="auto" w:before="0" w:after="0"/>
        <w:ind w:left="180" w:right="216" w:firstLine="0"/>
        <w:jc w:val="left"/>
        <w:rPr>
          <w:sz w:val="21"/>
        </w:rPr>
      </w:pPr>
      <w:r>
        <w:rPr>
          <w:spacing w:val="-2"/>
          <w:sz w:val="21"/>
        </w:rPr>
        <w:t>甲肝</w:t>
      </w:r>
      <w:r>
        <w:rPr>
          <w:sz w:val="21"/>
        </w:rPr>
        <w:t>/</w:t>
      </w:r>
      <w:r>
        <w:rPr>
          <w:spacing w:val="-9"/>
          <w:sz w:val="21"/>
        </w:rPr>
        <w:t>戊肝：</w:t>
      </w:r>
      <w:r>
        <w:rPr>
          <w:spacing w:val="-21"/>
          <w:sz w:val="21"/>
        </w:rPr>
        <w:t>1</w:t>
      </w:r>
      <w:r>
        <w:rPr>
          <w:spacing w:val="-18"/>
          <w:sz w:val="21"/>
        </w:rPr>
        <w:t> 周内，同一学校、幼儿园、自然村寨、社区、建筑工地等集体单位发生 </w:t>
      </w:r>
      <w:r>
        <w:rPr>
          <w:sz w:val="21"/>
        </w:rPr>
        <w:t>5</w:t>
      </w:r>
      <w:r>
        <w:rPr>
          <w:spacing w:val="7"/>
          <w:sz w:val="21"/>
        </w:rPr>
        <w:t> 例</w:t>
      </w:r>
      <w:r>
        <w:rPr>
          <w:spacing w:val="1"/>
          <w:sz w:val="21"/>
        </w:rPr>
        <w:t>及以上甲肝</w:t>
      </w:r>
      <w:r>
        <w:rPr>
          <w:sz w:val="21"/>
        </w:rPr>
        <w:t>/</w:t>
      </w:r>
      <w:r>
        <w:rPr>
          <w:spacing w:val="-3"/>
          <w:sz w:val="21"/>
        </w:rPr>
        <w:t>戊肝病例。</w:t>
      </w:r>
    </w:p>
    <w:p>
      <w:pPr>
        <w:pStyle w:val="ListParagraph"/>
        <w:numPr>
          <w:ilvl w:val="0"/>
          <w:numId w:val="11"/>
        </w:numPr>
        <w:tabs>
          <w:tab w:pos="393" w:val="left" w:leader="none"/>
        </w:tabs>
        <w:spacing w:line="417" w:lineRule="auto" w:before="0" w:after="0"/>
        <w:ind w:left="180" w:right="211" w:firstLine="0"/>
        <w:jc w:val="left"/>
        <w:rPr>
          <w:sz w:val="21"/>
        </w:rPr>
      </w:pPr>
      <w:r>
        <w:rPr>
          <w:spacing w:val="-2"/>
          <w:w w:val="100"/>
          <w:sz w:val="21"/>
        </w:rPr>
        <w:t>伤寒</w:t>
      </w:r>
      <w:r>
        <w:rPr>
          <w:w w:val="100"/>
          <w:sz w:val="21"/>
        </w:rPr>
        <w:t>（</w:t>
      </w:r>
      <w:r>
        <w:rPr>
          <w:spacing w:val="-2"/>
          <w:w w:val="100"/>
          <w:sz w:val="21"/>
        </w:rPr>
        <w:t>副伤寒</w:t>
      </w:r>
      <w:r>
        <w:rPr>
          <w:spacing w:val="-106"/>
          <w:w w:val="100"/>
          <w:sz w:val="21"/>
        </w:rPr>
        <w:t>）</w:t>
      </w:r>
      <w:r>
        <w:rPr>
          <w:spacing w:val="-1"/>
          <w:w w:val="100"/>
          <w:sz w:val="21"/>
        </w:rPr>
        <w:t>：</w:t>
      </w:r>
      <w:r>
        <w:rPr>
          <w:w w:val="100"/>
          <w:sz w:val="21"/>
        </w:rPr>
        <w:t>1</w:t>
      </w:r>
      <w:r>
        <w:rPr>
          <w:spacing w:val="-2"/>
          <w:sz w:val="21"/>
        </w:rPr>
        <w:t> </w:t>
      </w:r>
      <w:r>
        <w:rPr>
          <w:spacing w:val="-3"/>
          <w:w w:val="100"/>
          <w:sz w:val="21"/>
        </w:rPr>
        <w:t>周内，同一学校、幼儿园、自然村寨、社区、建筑工地等集体单位发</w:t>
      </w:r>
      <w:r>
        <w:rPr>
          <w:spacing w:val="-28"/>
          <w:sz w:val="21"/>
        </w:rPr>
        <w:t>生 </w:t>
      </w:r>
      <w:r>
        <w:rPr>
          <w:sz w:val="21"/>
        </w:rPr>
        <w:t>5</w:t>
      </w:r>
      <w:r>
        <w:rPr>
          <w:spacing w:val="-3"/>
          <w:sz w:val="21"/>
        </w:rPr>
        <w:t> 例及以上伤寒</w:t>
      </w:r>
      <w:r>
        <w:rPr>
          <w:sz w:val="21"/>
        </w:rPr>
        <w:t>（</w:t>
      </w:r>
      <w:r>
        <w:rPr>
          <w:spacing w:val="-2"/>
          <w:sz w:val="21"/>
        </w:rPr>
        <w:t>副伤寒</w:t>
      </w:r>
      <w:r>
        <w:rPr>
          <w:sz w:val="21"/>
        </w:rPr>
        <w:t>）</w:t>
      </w:r>
      <w:r>
        <w:rPr>
          <w:spacing w:val="-10"/>
          <w:sz w:val="21"/>
        </w:rPr>
        <w:t>病例，或出现 </w:t>
      </w:r>
      <w:r>
        <w:rPr>
          <w:sz w:val="21"/>
        </w:rPr>
        <w:t>2</w:t>
      </w:r>
      <w:r>
        <w:rPr>
          <w:spacing w:val="-3"/>
          <w:sz w:val="21"/>
        </w:rPr>
        <w:t> 例及以上死亡。</w:t>
      </w:r>
    </w:p>
    <w:p>
      <w:pPr>
        <w:pStyle w:val="ListParagraph"/>
        <w:numPr>
          <w:ilvl w:val="0"/>
          <w:numId w:val="11"/>
        </w:numPr>
        <w:tabs>
          <w:tab w:pos="393" w:val="left" w:leader="none"/>
        </w:tabs>
        <w:spacing w:line="417" w:lineRule="auto" w:before="0" w:after="0"/>
        <w:ind w:left="180" w:right="211" w:firstLine="0"/>
        <w:jc w:val="left"/>
        <w:rPr>
          <w:sz w:val="21"/>
        </w:rPr>
      </w:pPr>
      <w:r>
        <w:rPr>
          <w:spacing w:val="-4"/>
          <w:sz w:val="21"/>
        </w:rPr>
        <w:t>细菌性和阿米巴性痢疾：</w:t>
      </w:r>
      <w:r>
        <w:rPr>
          <w:spacing w:val="-9"/>
          <w:sz w:val="21"/>
        </w:rPr>
        <w:t>3</w:t>
      </w:r>
      <w:r>
        <w:rPr>
          <w:spacing w:val="-7"/>
          <w:sz w:val="21"/>
        </w:rPr>
        <w:t> 天内，同一学校、幼儿园、自然村寨、社区、建筑工地等集体</w:t>
      </w:r>
      <w:r>
        <w:rPr>
          <w:spacing w:val="-15"/>
          <w:sz w:val="21"/>
        </w:rPr>
        <w:t>单位发生 </w:t>
      </w:r>
      <w:r>
        <w:rPr>
          <w:sz w:val="21"/>
        </w:rPr>
        <w:t>10</w:t>
      </w:r>
      <w:r>
        <w:rPr>
          <w:spacing w:val="-6"/>
          <w:sz w:val="21"/>
        </w:rPr>
        <w:t> 例及以上细菌性和阿米巴性痢疾病例，或出现 </w:t>
      </w:r>
      <w:r>
        <w:rPr>
          <w:sz w:val="21"/>
        </w:rPr>
        <w:t>2</w:t>
      </w:r>
      <w:r>
        <w:rPr>
          <w:spacing w:val="-3"/>
          <w:sz w:val="21"/>
        </w:rPr>
        <w:t> 例及以上死亡。</w:t>
      </w:r>
    </w:p>
    <w:p>
      <w:pPr>
        <w:pStyle w:val="ListParagraph"/>
        <w:numPr>
          <w:ilvl w:val="0"/>
          <w:numId w:val="11"/>
        </w:numPr>
        <w:tabs>
          <w:tab w:pos="393" w:val="left" w:leader="none"/>
        </w:tabs>
        <w:spacing w:line="417" w:lineRule="auto" w:before="0" w:after="0"/>
        <w:ind w:left="180" w:right="211" w:firstLine="0"/>
        <w:jc w:val="left"/>
        <w:rPr>
          <w:sz w:val="21"/>
        </w:rPr>
      </w:pPr>
      <w:r>
        <w:rPr>
          <w:spacing w:val="-3"/>
          <w:sz w:val="21"/>
        </w:rPr>
        <w:t>麻疹：</w:t>
      </w:r>
      <w:r>
        <w:rPr>
          <w:spacing w:val="-4"/>
          <w:sz w:val="21"/>
        </w:rPr>
        <w:t>1</w:t>
      </w:r>
      <w:r>
        <w:rPr>
          <w:spacing w:val="-8"/>
          <w:sz w:val="21"/>
        </w:rPr>
        <w:t> 周内，同一学校、幼儿园、自然村寨、社区、建筑工地等集体单位发生 </w:t>
      </w:r>
      <w:r>
        <w:rPr>
          <w:sz w:val="21"/>
        </w:rPr>
        <w:t>10</w:t>
      </w:r>
      <w:r>
        <w:rPr>
          <w:spacing w:val="4"/>
          <w:sz w:val="21"/>
        </w:rPr>
        <w:t> 例及</w:t>
      </w:r>
      <w:r>
        <w:rPr>
          <w:spacing w:val="-1"/>
          <w:sz w:val="21"/>
        </w:rPr>
        <w:t>以上麻疹病例。</w:t>
      </w:r>
    </w:p>
    <w:p>
      <w:pPr>
        <w:pStyle w:val="ListParagraph"/>
        <w:numPr>
          <w:ilvl w:val="0"/>
          <w:numId w:val="11"/>
        </w:numPr>
        <w:tabs>
          <w:tab w:pos="393" w:val="left" w:leader="none"/>
        </w:tabs>
        <w:spacing w:line="417" w:lineRule="auto" w:before="0" w:after="0"/>
        <w:ind w:left="180" w:right="211" w:firstLine="0"/>
        <w:jc w:val="left"/>
        <w:rPr>
          <w:sz w:val="21"/>
        </w:rPr>
      </w:pPr>
      <w:r>
        <w:rPr>
          <w:spacing w:val="-3"/>
          <w:sz w:val="21"/>
        </w:rPr>
        <w:t>风疹：</w:t>
      </w:r>
      <w:r>
        <w:rPr>
          <w:spacing w:val="-5"/>
          <w:sz w:val="21"/>
        </w:rPr>
        <w:t>1</w:t>
      </w:r>
      <w:r>
        <w:rPr>
          <w:spacing w:val="-7"/>
          <w:sz w:val="21"/>
        </w:rPr>
        <w:t> 周内，同一学校、幼儿园、自然村寨、社区等集体单位发生 </w:t>
      </w:r>
      <w:r>
        <w:rPr>
          <w:sz w:val="21"/>
        </w:rPr>
        <w:t>10 例及以上风疹病例。</w:t>
      </w:r>
    </w:p>
    <w:p>
      <w:pPr>
        <w:pStyle w:val="ListParagraph"/>
        <w:numPr>
          <w:ilvl w:val="0"/>
          <w:numId w:val="11"/>
        </w:numPr>
        <w:tabs>
          <w:tab w:pos="393" w:val="left" w:leader="none"/>
        </w:tabs>
        <w:spacing w:line="417" w:lineRule="auto" w:before="0" w:after="0"/>
        <w:ind w:left="180" w:right="211" w:firstLine="0"/>
        <w:jc w:val="left"/>
        <w:rPr>
          <w:sz w:val="21"/>
        </w:rPr>
      </w:pPr>
      <w:r>
        <w:rPr>
          <w:spacing w:val="-4"/>
          <w:sz w:val="21"/>
        </w:rPr>
        <w:t>流行性脑脊髓膜炎：</w:t>
      </w:r>
      <w:r>
        <w:rPr>
          <w:spacing w:val="-10"/>
          <w:sz w:val="21"/>
        </w:rPr>
        <w:t>3</w:t>
      </w:r>
      <w:r>
        <w:rPr>
          <w:spacing w:val="-7"/>
          <w:sz w:val="21"/>
        </w:rPr>
        <w:t> 天内，同一学校、幼儿园、自然村寨、社区、建筑工地等集体单位</w:t>
      </w:r>
      <w:r>
        <w:rPr>
          <w:spacing w:val="-23"/>
          <w:sz w:val="21"/>
        </w:rPr>
        <w:t>发生 </w:t>
      </w:r>
      <w:r>
        <w:rPr>
          <w:sz w:val="21"/>
        </w:rPr>
        <w:t>3</w:t>
      </w:r>
      <w:r>
        <w:rPr>
          <w:spacing w:val="-7"/>
          <w:sz w:val="21"/>
        </w:rPr>
        <w:t> 例及以上流脑病例，或者有 </w:t>
      </w:r>
      <w:r>
        <w:rPr>
          <w:sz w:val="21"/>
        </w:rPr>
        <w:t>2</w:t>
      </w:r>
      <w:r>
        <w:rPr>
          <w:spacing w:val="-3"/>
          <w:sz w:val="21"/>
        </w:rPr>
        <w:t> 例及以上死亡。</w:t>
      </w:r>
    </w:p>
    <w:p>
      <w:pPr>
        <w:pStyle w:val="ListParagraph"/>
        <w:numPr>
          <w:ilvl w:val="0"/>
          <w:numId w:val="11"/>
        </w:numPr>
        <w:tabs>
          <w:tab w:pos="393" w:val="left" w:leader="none"/>
        </w:tabs>
        <w:spacing w:line="417" w:lineRule="auto" w:before="0" w:after="0"/>
        <w:ind w:left="180" w:right="211" w:firstLine="0"/>
        <w:jc w:val="left"/>
        <w:rPr>
          <w:sz w:val="21"/>
        </w:rPr>
      </w:pPr>
      <w:r>
        <w:rPr>
          <w:spacing w:val="-3"/>
          <w:sz w:val="21"/>
        </w:rPr>
        <w:t>流行性乙型脑炎：</w:t>
      </w:r>
      <w:r>
        <w:rPr>
          <w:sz w:val="21"/>
        </w:rPr>
        <w:t>1</w:t>
      </w:r>
      <w:r>
        <w:rPr>
          <w:spacing w:val="-6"/>
          <w:sz w:val="21"/>
        </w:rPr>
        <w:t> 周内，同一乡镇、街道等发生 </w:t>
      </w:r>
      <w:r>
        <w:rPr>
          <w:sz w:val="21"/>
        </w:rPr>
        <w:t>5</w:t>
      </w:r>
      <w:r>
        <w:rPr>
          <w:spacing w:val="-6"/>
          <w:sz w:val="21"/>
        </w:rPr>
        <w:t> 例及以上乙脑病例，或者死亡 </w:t>
      </w:r>
      <w:r>
        <w:rPr>
          <w:sz w:val="21"/>
        </w:rPr>
        <w:t>1</w:t>
      </w:r>
      <w:r>
        <w:rPr>
          <w:spacing w:val="4"/>
          <w:sz w:val="21"/>
        </w:rPr>
        <w:t> 例</w:t>
      </w:r>
      <w:r>
        <w:rPr>
          <w:sz w:val="21"/>
        </w:rPr>
        <w:t>及以上。</w:t>
      </w:r>
    </w:p>
    <w:p>
      <w:pPr>
        <w:pStyle w:val="ListParagraph"/>
        <w:numPr>
          <w:ilvl w:val="0"/>
          <w:numId w:val="11"/>
        </w:numPr>
        <w:tabs>
          <w:tab w:pos="393" w:val="left" w:leader="none"/>
        </w:tabs>
        <w:spacing w:line="269" w:lineRule="exact" w:before="0" w:after="0"/>
        <w:ind w:left="392" w:right="0" w:hanging="213"/>
        <w:jc w:val="left"/>
        <w:rPr>
          <w:sz w:val="21"/>
        </w:rPr>
      </w:pPr>
      <w:r>
        <w:rPr>
          <w:spacing w:val="-12"/>
          <w:sz w:val="21"/>
        </w:rPr>
        <w:t>流感：</w:t>
      </w:r>
      <w:r>
        <w:rPr>
          <w:spacing w:val="-32"/>
          <w:sz w:val="21"/>
        </w:rPr>
        <w:t>1</w:t>
      </w:r>
      <w:r>
        <w:rPr>
          <w:spacing w:val="-15"/>
          <w:sz w:val="21"/>
        </w:rPr>
        <w:t> 周内，在同一学校、幼儿园或其他集体单位发生 </w:t>
      </w:r>
      <w:r>
        <w:rPr>
          <w:sz w:val="21"/>
        </w:rPr>
        <w:t>30</w:t>
      </w:r>
      <w:r>
        <w:rPr>
          <w:spacing w:val="-16"/>
          <w:sz w:val="21"/>
        </w:rPr>
        <w:t> 例及以上流感样病例，或 </w:t>
      </w:r>
      <w:r>
        <w:rPr>
          <w:sz w:val="21"/>
        </w:rPr>
        <w:t>5</w:t>
      </w:r>
      <w:r>
        <w:rPr>
          <w:spacing w:val="4"/>
          <w:sz w:val="21"/>
        </w:rPr>
        <w:t> 例</w:t>
      </w:r>
    </w:p>
    <w:p>
      <w:pPr>
        <w:pStyle w:val="BodyText"/>
        <w:spacing w:before="5"/>
        <w:rPr>
          <w:sz w:val="15"/>
        </w:rPr>
      </w:pPr>
    </w:p>
    <w:p>
      <w:pPr>
        <w:pStyle w:val="BodyText"/>
        <w:spacing w:before="1"/>
        <w:ind w:left="180"/>
      </w:pPr>
      <w:r>
        <w:rPr/>
        <w:t>及以上因流感样症状住院病例，或发生 1 例及以上流感样病例死亡。</w:t>
      </w:r>
    </w:p>
    <w:p>
      <w:pPr>
        <w:pStyle w:val="BodyText"/>
        <w:spacing w:before="6"/>
        <w:rPr>
          <w:sz w:val="15"/>
        </w:rPr>
      </w:pPr>
    </w:p>
    <w:p>
      <w:pPr>
        <w:pStyle w:val="ListParagraph"/>
        <w:numPr>
          <w:ilvl w:val="0"/>
          <w:numId w:val="11"/>
        </w:numPr>
        <w:tabs>
          <w:tab w:pos="499" w:val="left" w:leader="none"/>
        </w:tabs>
        <w:spacing w:line="417" w:lineRule="auto" w:before="0" w:after="0"/>
        <w:ind w:left="180" w:right="211" w:firstLine="0"/>
        <w:jc w:val="left"/>
        <w:rPr>
          <w:sz w:val="21"/>
        </w:rPr>
      </w:pPr>
      <w:r>
        <w:rPr>
          <w:spacing w:val="-3"/>
          <w:sz w:val="21"/>
        </w:rPr>
        <w:t>流行性腮腺炎：</w:t>
      </w:r>
      <w:r>
        <w:rPr>
          <w:sz w:val="21"/>
        </w:rPr>
        <w:t>1</w:t>
      </w:r>
      <w:r>
        <w:rPr>
          <w:spacing w:val="-3"/>
          <w:sz w:val="21"/>
        </w:rPr>
        <w:t> 周内，同一学校、幼儿园等集体单位中发生 </w:t>
      </w:r>
      <w:r>
        <w:rPr>
          <w:sz w:val="21"/>
        </w:rPr>
        <w:t>10</w:t>
      </w:r>
      <w:r>
        <w:rPr>
          <w:spacing w:val="-1"/>
          <w:sz w:val="21"/>
        </w:rPr>
        <w:t> 例及以上流行性腮腺</w:t>
      </w:r>
      <w:r>
        <w:rPr>
          <w:spacing w:val="-2"/>
          <w:sz w:val="21"/>
        </w:rPr>
        <w:t>炎病例。</w:t>
      </w:r>
    </w:p>
    <w:p>
      <w:pPr>
        <w:pStyle w:val="ListParagraph"/>
        <w:numPr>
          <w:ilvl w:val="0"/>
          <w:numId w:val="11"/>
        </w:numPr>
        <w:tabs>
          <w:tab w:pos="499" w:val="left" w:leader="none"/>
        </w:tabs>
        <w:spacing w:line="417" w:lineRule="auto" w:before="1" w:after="0"/>
        <w:ind w:left="180" w:right="119" w:firstLine="0"/>
        <w:jc w:val="left"/>
        <w:rPr>
          <w:sz w:val="21"/>
        </w:rPr>
      </w:pPr>
      <w:r>
        <w:rPr>
          <w:spacing w:val="-6"/>
          <w:w w:val="100"/>
          <w:sz w:val="21"/>
        </w:rPr>
        <w:t>感染性腹泻</w:t>
      </w:r>
      <w:r>
        <w:rPr>
          <w:spacing w:val="-3"/>
          <w:w w:val="100"/>
          <w:sz w:val="21"/>
        </w:rPr>
        <w:t>（</w:t>
      </w:r>
      <w:r>
        <w:rPr>
          <w:spacing w:val="-7"/>
          <w:w w:val="100"/>
          <w:sz w:val="21"/>
        </w:rPr>
        <w:t>除霍乱、痢疾、伤寒和副伤寒以外</w:t>
      </w:r>
      <w:r>
        <w:rPr>
          <w:spacing w:val="-108"/>
          <w:w w:val="100"/>
          <w:sz w:val="21"/>
        </w:rPr>
        <w:t>）</w:t>
      </w:r>
      <w:r>
        <w:rPr>
          <w:spacing w:val="-14"/>
          <w:w w:val="100"/>
          <w:sz w:val="21"/>
        </w:rPr>
        <w:t>：</w:t>
      </w:r>
      <w:r>
        <w:rPr>
          <w:w w:val="100"/>
          <w:sz w:val="21"/>
        </w:rPr>
        <w:t>1</w:t>
      </w:r>
      <w:r>
        <w:rPr>
          <w:sz w:val="21"/>
        </w:rPr>
        <w:t> </w:t>
      </w:r>
      <w:r>
        <w:rPr>
          <w:spacing w:val="-8"/>
          <w:w w:val="100"/>
          <w:sz w:val="21"/>
        </w:rPr>
        <w:t>周内，同一学校、幼儿园、自然村</w:t>
      </w:r>
      <w:r>
        <w:rPr>
          <w:spacing w:val="-8"/>
          <w:sz w:val="21"/>
        </w:rPr>
        <w:t>寨、社区、建筑工地等集体单位中发生 </w:t>
      </w:r>
      <w:r>
        <w:rPr>
          <w:sz w:val="21"/>
        </w:rPr>
        <w:t>20</w:t>
      </w:r>
      <w:r>
        <w:rPr>
          <w:spacing w:val="-6"/>
          <w:sz w:val="21"/>
        </w:rPr>
        <w:t> 例及以上感染性腹泻病例，或死亡 </w:t>
      </w:r>
      <w:r>
        <w:rPr>
          <w:sz w:val="21"/>
        </w:rPr>
        <w:t>1</w:t>
      </w:r>
      <w:r>
        <w:rPr>
          <w:spacing w:val="-1"/>
          <w:sz w:val="21"/>
        </w:rPr>
        <w:t> 例及以上。12</w:t>
      </w:r>
      <w:r>
        <w:rPr>
          <w:spacing w:val="-3"/>
          <w:sz w:val="21"/>
        </w:rPr>
        <w:t>.猩红热：</w:t>
      </w:r>
      <w:r>
        <w:rPr>
          <w:sz w:val="21"/>
        </w:rPr>
        <w:t>1</w:t>
      </w:r>
      <w:r>
        <w:rPr>
          <w:spacing w:val="-6"/>
          <w:sz w:val="21"/>
        </w:rPr>
        <w:t> 周内，同一学校、幼儿园等集体单位中，发生 </w:t>
      </w:r>
      <w:r>
        <w:rPr>
          <w:sz w:val="21"/>
        </w:rPr>
        <w:t>10</w:t>
      </w:r>
      <w:r>
        <w:rPr>
          <w:spacing w:val="-8"/>
          <w:sz w:val="21"/>
        </w:rPr>
        <w:t> 例及以上猩红热病例。</w:t>
      </w:r>
    </w:p>
    <w:p>
      <w:pPr>
        <w:pStyle w:val="ListParagraph"/>
        <w:numPr>
          <w:ilvl w:val="0"/>
          <w:numId w:val="12"/>
        </w:numPr>
        <w:tabs>
          <w:tab w:pos="499" w:val="left" w:leader="none"/>
        </w:tabs>
        <w:spacing w:line="269" w:lineRule="exact" w:before="0" w:after="0"/>
        <w:ind w:left="498" w:right="0" w:hanging="319"/>
        <w:jc w:val="left"/>
        <w:rPr>
          <w:sz w:val="21"/>
        </w:rPr>
      </w:pPr>
      <w:r>
        <w:rPr>
          <w:spacing w:val="-2"/>
          <w:sz w:val="21"/>
        </w:rPr>
        <w:t>水痘：</w:t>
      </w:r>
      <w:r>
        <w:rPr>
          <w:sz w:val="21"/>
        </w:rPr>
        <w:t>1</w:t>
      </w:r>
      <w:r>
        <w:rPr>
          <w:spacing w:val="-6"/>
          <w:sz w:val="21"/>
        </w:rPr>
        <w:t> 周内，同一学校、幼儿园等集体单位中，发生 </w:t>
      </w:r>
      <w:r>
        <w:rPr>
          <w:sz w:val="21"/>
        </w:rPr>
        <w:t>10</w:t>
      </w:r>
      <w:r>
        <w:rPr>
          <w:spacing w:val="-3"/>
          <w:sz w:val="21"/>
        </w:rPr>
        <w:t> 例及以上水痘病例。</w:t>
      </w:r>
    </w:p>
    <w:p>
      <w:pPr>
        <w:pStyle w:val="BodyText"/>
        <w:spacing w:before="6"/>
        <w:rPr>
          <w:sz w:val="15"/>
        </w:rPr>
      </w:pPr>
    </w:p>
    <w:p>
      <w:pPr>
        <w:pStyle w:val="ListParagraph"/>
        <w:numPr>
          <w:ilvl w:val="0"/>
          <w:numId w:val="12"/>
        </w:numPr>
        <w:tabs>
          <w:tab w:pos="499" w:val="left" w:leader="none"/>
        </w:tabs>
        <w:spacing w:line="240" w:lineRule="auto" w:before="0" w:after="0"/>
        <w:ind w:left="498" w:right="0" w:hanging="319"/>
        <w:jc w:val="left"/>
        <w:rPr>
          <w:sz w:val="21"/>
        </w:rPr>
      </w:pPr>
      <w:r>
        <w:rPr>
          <w:spacing w:val="-22"/>
          <w:sz w:val="21"/>
        </w:rPr>
        <w:t>手足口病：是指 </w:t>
      </w:r>
      <w:r>
        <w:rPr>
          <w:sz w:val="21"/>
        </w:rPr>
        <w:t>1</w:t>
      </w:r>
      <w:r>
        <w:rPr>
          <w:spacing w:val="-16"/>
          <w:sz w:val="21"/>
        </w:rPr>
        <w:t> 周内，同一托幼机构或学校等集体单位发生 </w:t>
      </w:r>
      <w:r>
        <w:rPr>
          <w:sz w:val="21"/>
        </w:rPr>
        <w:t>10</w:t>
      </w:r>
      <w:r>
        <w:rPr>
          <w:spacing w:val="-8"/>
          <w:sz w:val="21"/>
        </w:rPr>
        <w:t> 例及以上手足口病病例；</w:t>
      </w:r>
    </w:p>
    <w:p>
      <w:pPr>
        <w:pStyle w:val="BodyText"/>
        <w:spacing w:before="7"/>
        <w:rPr>
          <w:sz w:val="15"/>
        </w:rPr>
      </w:pPr>
    </w:p>
    <w:p>
      <w:pPr>
        <w:pStyle w:val="BodyText"/>
        <w:ind w:left="180"/>
      </w:pPr>
      <w:r>
        <w:rPr/>
        <w:t>或同一个自然村/居委会发生 5 例及以上手足口病病例。</w:t>
      </w:r>
    </w:p>
    <w:p>
      <w:pPr>
        <w:pStyle w:val="BodyText"/>
        <w:spacing w:before="7"/>
        <w:rPr>
          <w:sz w:val="15"/>
        </w:rPr>
      </w:pPr>
    </w:p>
    <w:p>
      <w:pPr>
        <w:pStyle w:val="ListParagraph"/>
        <w:numPr>
          <w:ilvl w:val="0"/>
          <w:numId w:val="12"/>
        </w:numPr>
        <w:tabs>
          <w:tab w:pos="499" w:val="left" w:leader="none"/>
        </w:tabs>
        <w:spacing w:line="240" w:lineRule="auto" w:before="0" w:after="0"/>
        <w:ind w:left="498" w:right="0" w:hanging="319"/>
        <w:jc w:val="left"/>
        <w:rPr>
          <w:sz w:val="21"/>
        </w:rPr>
      </w:pPr>
      <w:r>
        <w:rPr>
          <w:spacing w:val="-4"/>
          <w:sz w:val="21"/>
        </w:rPr>
        <w:t>诺如病毒胃肠炎：1</w:t>
      </w:r>
      <w:r>
        <w:rPr>
          <w:spacing w:val="-9"/>
          <w:sz w:val="21"/>
        </w:rPr>
        <w:t> 周内，同一学校、托幼机构、医疗机构、养老院、工厂、建筑工地、</w:t>
      </w:r>
    </w:p>
    <w:p>
      <w:pPr>
        <w:spacing w:after="0" w:line="240" w:lineRule="auto"/>
        <w:jc w:val="left"/>
        <w:rPr>
          <w:sz w:val="21"/>
        </w:rPr>
        <w:sectPr>
          <w:type w:val="continuous"/>
          <w:pgSz w:w="11910" w:h="16840"/>
          <w:pgMar w:top="1580" w:bottom="280" w:left="1620" w:right="1580"/>
        </w:sectPr>
      </w:pPr>
    </w:p>
    <w:p>
      <w:pPr>
        <w:pStyle w:val="BodyText"/>
        <w:spacing w:before="41"/>
        <w:ind w:left="180"/>
      </w:pPr>
      <w:r>
        <w:rPr>
          <w:spacing w:val="-22"/>
        </w:rPr>
        <w:t>游轮、社区</w:t>
      </w:r>
      <w:r>
        <w:rPr>
          <w:spacing w:val="-3"/>
        </w:rPr>
        <w:t>/</w:t>
      </w:r>
      <w:r>
        <w:rPr>
          <w:spacing w:val="-15"/>
        </w:rPr>
        <w:t>村庄等集体单位或场所，发生 </w:t>
      </w:r>
      <w:r>
        <w:rPr/>
        <w:t>20</w:t>
      </w:r>
      <w:r>
        <w:rPr>
          <w:spacing w:val="-8"/>
        </w:rPr>
        <w:t> 例及以上有流行病学关联的诺如病毒感染病例，</w:t>
      </w:r>
    </w:p>
    <w:p>
      <w:pPr>
        <w:pStyle w:val="BodyText"/>
        <w:spacing w:before="7"/>
        <w:rPr>
          <w:sz w:val="15"/>
        </w:rPr>
      </w:pPr>
    </w:p>
    <w:p>
      <w:pPr>
        <w:pStyle w:val="BodyText"/>
        <w:ind w:left="180"/>
      </w:pPr>
      <w:r>
        <w:rPr/>
        <w:t>其中至少 2 例是实验室诊断病例。</w:t>
      </w:r>
    </w:p>
    <w:p>
      <w:pPr>
        <w:pStyle w:val="BodyText"/>
        <w:spacing w:before="7"/>
        <w:rPr>
          <w:sz w:val="15"/>
        </w:rPr>
      </w:pPr>
    </w:p>
    <w:p>
      <w:pPr>
        <w:pStyle w:val="ListParagraph"/>
        <w:numPr>
          <w:ilvl w:val="0"/>
          <w:numId w:val="12"/>
        </w:numPr>
        <w:tabs>
          <w:tab w:pos="499" w:val="left" w:leader="none"/>
        </w:tabs>
        <w:spacing w:line="417" w:lineRule="auto" w:before="0" w:after="0"/>
        <w:ind w:left="180" w:right="211" w:firstLine="0"/>
        <w:jc w:val="left"/>
        <w:rPr>
          <w:sz w:val="21"/>
        </w:rPr>
      </w:pPr>
      <w:r>
        <w:rPr>
          <w:spacing w:val="-6"/>
          <w:sz w:val="21"/>
        </w:rPr>
        <w:t>急性出血性结膜炎: </w:t>
      </w:r>
      <w:r>
        <w:rPr>
          <w:sz w:val="21"/>
        </w:rPr>
        <w:t>1</w:t>
      </w:r>
      <w:r>
        <w:rPr>
          <w:spacing w:val="-10"/>
          <w:sz w:val="21"/>
        </w:rPr>
        <w:t> 周内，同一学校、幼儿园、工厂、医院等集体单位发生 </w:t>
      </w:r>
      <w:r>
        <w:rPr>
          <w:sz w:val="21"/>
        </w:rPr>
        <w:t>20</w:t>
      </w:r>
      <w:r>
        <w:rPr>
          <w:spacing w:val="-12"/>
          <w:sz w:val="21"/>
        </w:rPr>
        <w:t> 例及以</w:t>
      </w:r>
      <w:r>
        <w:rPr>
          <w:spacing w:val="-6"/>
          <w:sz w:val="21"/>
        </w:rPr>
        <w:t>上急性出血性结膜炎病例。</w:t>
      </w:r>
    </w:p>
    <w:p>
      <w:pPr>
        <w:spacing w:after="0" w:line="417" w:lineRule="auto"/>
        <w:jc w:val="left"/>
        <w:rPr>
          <w:sz w:val="21"/>
        </w:rPr>
        <w:sectPr>
          <w:pgSz w:w="11910" w:h="16840"/>
          <w:pgMar w:top="1480" w:bottom="280" w:left="1620" w:right="1580"/>
        </w:sectPr>
      </w:pPr>
    </w:p>
    <w:p>
      <w:pPr>
        <w:pStyle w:val="Heading2"/>
        <w:spacing w:before="91"/>
        <w:ind w:left="180"/>
        <w:rPr>
          <w:rFonts w:ascii="创艺简中圆" w:eastAsia="创艺简中圆" w:hint="eastAsia"/>
        </w:rPr>
      </w:pPr>
      <w:r>
        <w:rPr>
          <w:rFonts w:ascii="创艺简中圆" w:eastAsia="创艺简中圆" w:hint="eastAsia"/>
        </w:rPr>
        <w:t>附件 2</w:t>
      </w:r>
    </w:p>
    <w:p>
      <w:pPr>
        <w:pStyle w:val="BodyText"/>
        <w:rPr>
          <w:rFonts w:ascii="创艺简中圆"/>
          <w:sz w:val="24"/>
        </w:rPr>
      </w:pPr>
      <w:r>
        <w:rPr/>
        <w:br w:type="column"/>
      </w:r>
      <w:r>
        <w:rPr>
          <w:rFonts w:ascii="创艺简中圆"/>
          <w:sz w:val="24"/>
        </w:rPr>
      </w:r>
    </w:p>
    <w:p>
      <w:pPr>
        <w:pStyle w:val="BodyText"/>
        <w:spacing w:before="6"/>
        <w:rPr>
          <w:rFonts w:ascii="创艺简中圆"/>
          <w:sz w:val="22"/>
        </w:rPr>
      </w:pPr>
    </w:p>
    <w:p>
      <w:pPr>
        <w:spacing w:before="0"/>
        <w:ind w:left="180" w:right="0" w:firstLine="0"/>
        <w:jc w:val="left"/>
        <w:rPr>
          <w:b/>
          <w:sz w:val="24"/>
        </w:rPr>
      </w:pPr>
      <w:r>
        <w:rPr>
          <w:b/>
          <w:sz w:val="24"/>
        </w:rPr>
        <w:t>学生常见传染病的传染期和隔离建议</w:t>
      </w:r>
    </w:p>
    <w:p>
      <w:pPr>
        <w:spacing w:after="0"/>
        <w:jc w:val="left"/>
        <w:rPr>
          <w:sz w:val="24"/>
        </w:rPr>
        <w:sectPr>
          <w:pgSz w:w="11910" w:h="16840"/>
          <w:pgMar w:top="1460" w:bottom="280" w:left="1620" w:right="1580"/>
          <w:cols w:num="2" w:equalWidth="0">
            <w:col w:w="1008" w:space="1217"/>
            <w:col w:w="6485"/>
          </w:cols>
        </w:sectPr>
      </w:pPr>
    </w:p>
    <w:p>
      <w:pPr>
        <w:pStyle w:val="BodyText"/>
        <w:spacing w:before="4"/>
        <w:rPr>
          <w:b/>
          <w:sz w:val="6"/>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25"/>
        <w:gridCol w:w="1561"/>
        <w:gridCol w:w="992"/>
        <w:gridCol w:w="1420"/>
        <w:gridCol w:w="2128"/>
        <w:gridCol w:w="716"/>
      </w:tblGrid>
      <w:tr>
        <w:trPr>
          <w:trHeight w:val="700" w:hRule="atLeast"/>
        </w:trPr>
        <w:tc>
          <w:tcPr>
            <w:tcW w:w="1625" w:type="dxa"/>
          </w:tcPr>
          <w:p>
            <w:pPr>
              <w:pStyle w:val="TableParagraph"/>
              <w:spacing w:before="1"/>
              <w:ind w:left="0"/>
              <w:rPr>
                <w:b/>
                <w:sz w:val="18"/>
              </w:rPr>
            </w:pPr>
          </w:p>
          <w:p>
            <w:pPr>
              <w:pStyle w:val="TableParagraph"/>
              <w:spacing w:before="1"/>
              <w:ind w:left="450"/>
              <w:rPr>
                <w:b/>
                <w:sz w:val="18"/>
              </w:rPr>
            </w:pPr>
            <w:r>
              <w:rPr>
                <w:b/>
                <w:sz w:val="18"/>
              </w:rPr>
              <w:t>疾病种类</w:t>
            </w:r>
          </w:p>
        </w:tc>
        <w:tc>
          <w:tcPr>
            <w:tcW w:w="1561" w:type="dxa"/>
          </w:tcPr>
          <w:p>
            <w:pPr>
              <w:pStyle w:val="TableParagraph"/>
              <w:spacing w:before="1"/>
              <w:ind w:left="0"/>
              <w:rPr>
                <w:b/>
                <w:sz w:val="18"/>
              </w:rPr>
            </w:pPr>
          </w:p>
          <w:p>
            <w:pPr>
              <w:pStyle w:val="TableParagraph"/>
              <w:spacing w:before="1"/>
              <w:ind w:left="417"/>
              <w:rPr>
                <w:b/>
                <w:sz w:val="18"/>
              </w:rPr>
            </w:pPr>
            <w:r>
              <w:rPr>
                <w:b/>
                <w:sz w:val="18"/>
              </w:rPr>
              <w:t>临床表现</w:t>
            </w:r>
          </w:p>
        </w:tc>
        <w:tc>
          <w:tcPr>
            <w:tcW w:w="992" w:type="dxa"/>
          </w:tcPr>
          <w:p>
            <w:pPr>
              <w:pStyle w:val="TableParagraph"/>
              <w:spacing w:before="1"/>
              <w:ind w:left="0"/>
              <w:rPr>
                <w:b/>
                <w:sz w:val="18"/>
              </w:rPr>
            </w:pPr>
          </w:p>
          <w:p>
            <w:pPr>
              <w:pStyle w:val="TableParagraph"/>
              <w:spacing w:before="1"/>
              <w:ind w:left="133"/>
              <w:rPr>
                <w:b/>
                <w:sz w:val="18"/>
              </w:rPr>
            </w:pPr>
            <w:r>
              <w:rPr>
                <w:b/>
                <w:sz w:val="18"/>
              </w:rPr>
              <w:t>传播途径</w:t>
            </w:r>
          </w:p>
        </w:tc>
        <w:tc>
          <w:tcPr>
            <w:tcW w:w="1420" w:type="dxa"/>
          </w:tcPr>
          <w:p>
            <w:pPr>
              <w:pStyle w:val="TableParagraph"/>
              <w:spacing w:before="1"/>
              <w:ind w:left="0"/>
              <w:rPr>
                <w:b/>
                <w:sz w:val="18"/>
              </w:rPr>
            </w:pPr>
          </w:p>
          <w:p>
            <w:pPr>
              <w:pStyle w:val="TableParagraph"/>
              <w:spacing w:before="1"/>
              <w:ind w:left="435"/>
              <w:rPr>
                <w:b/>
                <w:sz w:val="18"/>
              </w:rPr>
            </w:pPr>
            <w:r>
              <w:rPr>
                <w:b/>
                <w:sz w:val="18"/>
              </w:rPr>
              <w:t>传染期</w:t>
            </w:r>
          </w:p>
        </w:tc>
        <w:tc>
          <w:tcPr>
            <w:tcW w:w="2128" w:type="dxa"/>
          </w:tcPr>
          <w:p>
            <w:pPr>
              <w:pStyle w:val="TableParagraph"/>
              <w:spacing w:before="1"/>
              <w:ind w:left="0"/>
              <w:rPr>
                <w:b/>
                <w:sz w:val="18"/>
              </w:rPr>
            </w:pPr>
          </w:p>
          <w:p>
            <w:pPr>
              <w:pStyle w:val="TableParagraph"/>
              <w:spacing w:before="1"/>
              <w:ind w:left="768" w:right="766"/>
              <w:jc w:val="center"/>
              <w:rPr>
                <w:b/>
                <w:sz w:val="18"/>
              </w:rPr>
            </w:pPr>
            <w:r>
              <w:rPr>
                <w:b/>
                <w:sz w:val="18"/>
              </w:rPr>
              <w:t>隔离期</w:t>
            </w:r>
          </w:p>
        </w:tc>
        <w:tc>
          <w:tcPr>
            <w:tcW w:w="716" w:type="dxa"/>
          </w:tcPr>
          <w:p>
            <w:pPr>
              <w:pStyle w:val="TableParagraph"/>
              <w:spacing w:line="242" w:lineRule="auto"/>
              <w:ind w:left="171" w:right="167"/>
              <w:rPr>
                <w:b/>
                <w:sz w:val="18"/>
              </w:rPr>
            </w:pPr>
            <w:r>
              <w:rPr>
                <w:b/>
                <w:spacing w:val="-7"/>
                <w:sz w:val="18"/>
              </w:rPr>
              <w:t>法定报告</w:t>
            </w:r>
          </w:p>
          <w:p>
            <w:pPr>
              <w:pStyle w:val="TableParagraph"/>
              <w:spacing w:line="213" w:lineRule="exact" w:before="2"/>
              <w:ind w:left="171"/>
              <w:rPr>
                <w:b/>
                <w:sz w:val="18"/>
              </w:rPr>
            </w:pPr>
            <w:r>
              <w:rPr>
                <w:b/>
                <w:sz w:val="18"/>
              </w:rPr>
              <w:t>类别</w:t>
            </w:r>
          </w:p>
        </w:tc>
      </w:tr>
      <w:tr>
        <w:trPr>
          <w:trHeight w:val="232" w:hRule="atLeast"/>
        </w:trPr>
        <w:tc>
          <w:tcPr>
            <w:tcW w:w="8442" w:type="dxa"/>
            <w:gridSpan w:val="6"/>
            <w:shd w:val="clear" w:color="auto" w:fill="E7E6E6"/>
          </w:tcPr>
          <w:p>
            <w:pPr>
              <w:pStyle w:val="TableParagraph"/>
              <w:spacing w:line="212" w:lineRule="exact"/>
              <w:rPr>
                <w:b/>
                <w:sz w:val="18"/>
              </w:rPr>
            </w:pPr>
            <w:r>
              <w:rPr>
                <w:b/>
                <w:sz w:val="18"/>
              </w:rPr>
              <w:t>呼吸道传染病</w:t>
            </w:r>
          </w:p>
        </w:tc>
      </w:tr>
      <w:tr>
        <w:trPr>
          <w:trHeight w:val="935" w:hRule="atLeast"/>
        </w:trPr>
        <w:tc>
          <w:tcPr>
            <w:tcW w:w="1625" w:type="dxa"/>
          </w:tcPr>
          <w:p>
            <w:pPr>
              <w:pStyle w:val="TableParagraph"/>
              <w:spacing w:before="2"/>
              <w:rPr>
                <w:sz w:val="18"/>
              </w:rPr>
            </w:pPr>
            <w:r>
              <w:rPr>
                <w:sz w:val="18"/>
              </w:rPr>
              <w:t>流感</w:t>
            </w:r>
          </w:p>
        </w:tc>
        <w:tc>
          <w:tcPr>
            <w:tcW w:w="1561" w:type="dxa"/>
          </w:tcPr>
          <w:p>
            <w:pPr>
              <w:pStyle w:val="TableParagraph"/>
              <w:spacing w:line="230" w:lineRule="atLeast" w:before="2"/>
              <w:ind w:right="2"/>
              <w:rPr>
                <w:sz w:val="18"/>
              </w:rPr>
            </w:pPr>
            <w:r>
              <w:rPr>
                <w:sz w:val="18"/>
              </w:rPr>
              <w:t>发热、头痛、鼻塞、咳嗽、流涕、咽痛、肌肉酸痛、乏力</w:t>
            </w:r>
          </w:p>
        </w:tc>
        <w:tc>
          <w:tcPr>
            <w:tcW w:w="992" w:type="dxa"/>
          </w:tcPr>
          <w:p>
            <w:pPr>
              <w:pStyle w:val="TableParagraph"/>
              <w:spacing w:line="242" w:lineRule="auto" w:before="2"/>
              <w:ind w:right="152"/>
              <w:rPr>
                <w:sz w:val="18"/>
              </w:rPr>
            </w:pPr>
            <w:r>
              <w:rPr>
                <w:sz w:val="18"/>
              </w:rPr>
              <w:t>飞沫传播接触传播</w:t>
            </w:r>
          </w:p>
        </w:tc>
        <w:tc>
          <w:tcPr>
            <w:tcW w:w="1420" w:type="dxa"/>
          </w:tcPr>
          <w:p>
            <w:pPr>
              <w:pStyle w:val="TableParagraph"/>
              <w:spacing w:before="2"/>
              <w:ind w:left="106"/>
              <w:rPr>
                <w:sz w:val="18"/>
              </w:rPr>
            </w:pPr>
            <w:r>
              <w:rPr>
                <w:sz w:val="18"/>
              </w:rPr>
              <w:t>成人发病后3-5</w:t>
            </w:r>
          </w:p>
          <w:p>
            <w:pPr>
              <w:pStyle w:val="TableParagraph"/>
              <w:spacing w:line="242" w:lineRule="auto" w:before="2"/>
              <w:ind w:left="106" w:right="30"/>
              <w:rPr>
                <w:sz w:val="18"/>
              </w:rPr>
            </w:pPr>
            <w:r>
              <w:rPr>
                <w:sz w:val="18"/>
              </w:rPr>
              <w:t>天，幼儿可达 7 天</w:t>
            </w:r>
          </w:p>
        </w:tc>
        <w:tc>
          <w:tcPr>
            <w:tcW w:w="2128" w:type="dxa"/>
          </w:tcPr>
          <w:p>
            <w:pPr>
              <w:pStyle w:val="TableParagraph"/>
              <w:spacing w:before="2"/>
              <w:ind w:left="105"/>
              <w:rPr>
                <w:sz w:val="18"/>
              </w:rPr>
            </w:pPr>
            <w:r>
              <w:rPr>
                <w:sz w:val="18"/>
              </w:rPr>
              <w:t>热退后满 48 小时</w:t>
            </w:r>
          </w:p>
        </w:tc>
        <w:tc>
          <w:tcPr>
            <w:tcW w:w="716" w:type="dxa"/>
          </w:tcPr>
          <w:p>
            <w:pPr>
              <w:pStyle w:val="TableParagraph"/>
              <w:spacing w:before="2"/>
              <w:ind w:left="104"/>
              <w:rPr>
                <w:sz w:val="18"/>
              </w:rPr>
            </w:pPr>
            <w:r>
              <w:rPr>
                <w:sz w:val="18"/>
              </w:rPr>
              <w:t>丙类</w:t>
            </w:r>
          </w:p>
        </w:tc>
      </w:tr>
      <w:tr>
        <w:trPr>
          <w:trHeight w:val="933" w:hRule="atLeast"/>
        </w:trPr>
        <w:tc>
          <w:tcPr>
            <w:tcW w:w="1625" w:type="dxa"/>
          </w:tcPr>
          <w:p>
            <w:pPr>
              <w:pStyle w:val="TableParagraph"/>
              <w:spacing w:line="230" w:lineRule="exact"/>
              <w:rPr>
                <w:sz w:val="18"/>
              </w:rPr>
            </w:pPr>
            <w:r>
              <w:rPr>
                <w:sz w:val="18"/>
              </w:rPr>
              <w:t>麻疹</w:t>
            </w:r>
          </w:p>
        </w:tc>
        <w:tc>
          <w:tcPr>
            <w:tcW w:w="1561" w:type="dxa"/>
          </w:tcPr>
          <w:p>
            <w:pPr>
              <w:pStyle w:val="TableParagraph"/>
              <w:spacing w:line="242" w:lineRule="auto"/>
              <w:ind w:right="80"/>
              <w:jc w:val="both"/>
              <w:rPr>
                <w:sz w:val="18"/>
              </w:rPr>
            </w:pPr>
            <w:r>
              <w:rPr>
                <w:sz w:val="18"/>
              </w:rPr>
              <w:t>发热、结膜炎、流涕、咳嗽和颊粘膜柯氏斑、皮</w:t>
            </w:r>
          </w:p>
          <w:p>
            <w:pPr>
              <w:pStyle w:val="TableParagraph"/>
              <w:spacing w:line="213" w:lineRule="exact" w:before="2"/>
              <w:rPr>
                <w:sz w:val="18"/>
              </w:rPr>
            </w:pPr>
            <w:r>
              <w:rPr>
                <w:sz w:val="18"/>
              </w:rPr>
              <w:t>疹</w:t>
            </w:r>
          </w:p>
        </w:tc>
        <w:tc>
          <w:tcPr>
            <w:tcW w:w="992" w:type="dxa"/>
          </w:tcPr>
          <w:p>
            <w:pPr>
              <w:pStyle w:val="TableParagraph"/>
              <w:spacing w:line="242" w:lineRule="auto"/>
              <w:ind w:right="152"/>
              <w:rPr>
                <w:sz w:val="18"/>
              </w:rPr>
            </w:pPr>
            <w:r>
              <w:rPr>
                <w:sz w:val="18"/>
              </w:rPr>
              <w:t>飞沫传播接触传播</w:t>
            </w:r>
          </w:p>
        </w:tc>
        <w:tc>
          <w:tcPr>
            <w:tcW w:w="1420" w:type="dxa"/>
          </w:tcPr>
          <w:p>
            <w:pPr>
              <w:pStyle w:val="TableParagraph"/>
              <w:spacing w:line="230" w:lineRule="exact"/>
              <w:ind w:left="106"/>
              <w:rPr>
                <w:sz w:val="18"/>
              </w:rPr>
            </w:pPr>
            <w:r>
              <w:rPr>
                <w:sz w:val="18"/>
              </w:rPr>
              <w:t>发病前 2 天至</w:t>
            </w:r>
          </w:p>
          <w:p>
            <w:pPr>
              <w:pStyle w:val="TableParagraph"/>
              <w:spacing w:before="2"/>
              <w:ind w:left="106"/>
              <w:rPr>
                <w:sz w:val="18"/>
              </w:rPr>
            </w:pPr>
            <w:r>
              <w:rPr>
                <w:sz w:val="18"/>
              </w:rPr>
              <w:t>出疹后 5 天内</w:t>
            </w:r>
          </w:p>
        </w:tc>
        <w:tc>
          <w:tcPr>
            <w:tcW w:w="2128" w:type="dxa"/>
          </w:tcPr>
          <w:p>
            <w:pPr>
              <w:pStyle w:val="TableParagraph"/>
              <w:spacing w:line="230" w:lineRule="exact"/>
              <w:ind w:left="105"/>
              <w:rPr>
                <w:sz w:val="18"/>
              </w:rPr>
            </w:pPr>
            <w:r>
              <w:rPr>
                <w:spacing w:val="-12"/>
                <w:sz w:val="18"/>
              </w:rPr>
              <w:t>出疹后 </w:t>
            </w:r>
            <w:r>
              <w:rPr>
                <w:sz w:val="18"/>
              </w:rPr>
              <w:t>5</w:t>
            </w:r>
            <w:r>
              <w:rPr>
                <w:spacing w:val="-16"/>
                <w:sz w:val="18"/>
              </w:rPr>
              <w:t> 天，伴呼吸道并</w:t>
            </w:r>
          </w:p>
          <w:p>
            <w:pPr>
              <w:pStyle w:val="TableParagraph"/>
              <w:spacing w:line="242" w:lineRule="auto" w:before="2"/>
              <w:ind w:left="105" w:right="97"/>
              <w:rPr>
                <w:sz w:val="18"/>
              </w:rPr>
            </w:pPr>
            <w:r>
              <w:rPr>
                <w:sz w:val="18"/>
              </w:rPr>
              <w:t>发症者延长到出疹后 10 天</w:t>
            </w:r>
          </w:p>
        </w:tc>
        <w:tc>
          <w:tcPr>
            <w:tcW w:w="716" w:type="dxa"/>
          </w:tcPr>
          <w:p>
            <w:pPr>
              <w:pStyle w:val="TableParagraph"/>
              <w:spacing w:line="230" w:lineRule="exact"/>
              <w:ind w:left="104"/>
              <w:rPr>
                <w:sz w:val="18"/>
              </w:rPr>
            </w:pPr>
            <w:r>
              <w:rPr>
                <w:sz w:val="18"/>
              </w:rPr>
              <w:t>乙类</w:t>
            </w:r>
          </w:p>
        </w:tc>
      </w:tr>
      <w:tr>
        <w:trPr>
          <w:trHeight w:val="1401" w:hRule="atLeast"/>
        </w:trPr>
        <w:tc>
          <w:tcPr>
            <w:tcW w:w="1625" w:type="dxa"/>
          </w:tcPr>
          <w:p>
            <w:pPr>
              <w:pStyle w:val="TableParagraph"/>
              <w:spacing w:line="230" w:lineRule="exact"/>
              <w:rPr>
                <w:sz w:val="18"/>
              </w:rPr>
            </w:pPr>
            <w:r>
              <w:rPr>
                <w:sz w:val="18"/>
              </w:rPr>
              <w:t>水痘</w:t>
            </w:r>
          </w:p>
        </w:tc>
        <w:tc>
          <w:tcPr>
            <w:tcW w:w="1561" w:type="dxa"/>
          </w:tcPr>
          <w:p>
            <w:pPr>
              <w:pStyle w:val="TableParagraph"/>
              <w:spacing w:line="242" w:lineRule="auto"/>
              <w:ind w:right="80"/>
              <w:jc w:val="both"/>
              <w:rPr>
                <w:sz w:val="18"/>
              </w:rPr>
            </w:pPr>
            <w:r>
              <w:rPr>
                <w:sz w:val="18"/>
              </w:rPr>
              <w:t>发烧、乏力、头部及躯干出现水疱</w:t>
            </w:r>
          </w:p>
        </w:tc>
        <w:tc>
          <w:tcPr>
            <w:tcW w:w="992" w:type="dxa"/>
          </w:tcPr>
          <w:p>
            <w:pPr>
              <w:pStyle w:val="TableParagraph"/>
              <w:spacing w:line="242" w:lineRule="auto"/>
              <w:ind w:right="152"/>
              <w:rPr>
                <w:sz w:val="18"/>
              </w:rPr>
            </w:pPr>
            <w:r>
              <w:rPr>
                <w:sz w:val="18"/>
              </w:rPr>
              <w:t>飞沫传播接触传播</w:t>
            </w:r>
          </w:p>
        </w:tc>
        <w:tc>
          <w:tcPr>
            <w:tcW w:w="1420" w:type="dxa"/>
          </w:tcPr>
          <w:p>
            <w:pPr>
              <w:pStyle w:val="TableParagraph"/>
              <w:spacing w:line="242" w:lineRule="auto"/>
              <w:ind w:left="106" w:right="96"/>
              <w:jc w:val="both"/>
              <w:rPr>
                <w:sz w:val="18"/>
              </w:rPr>
            </w:pPr>
            <w:r>
              <w:rPr>
                <w:spacing w:val="-11"/>
                <w:sz w:val="18"/>
              </w:rPr>
              <w:t>出疹前 </w:t>
            </w:r>
            <w:r>
              <w:rPr>
                <w:sz w:val="18"/>
              </w:rPr>
              <w:t>5</w:t>
            </w:r>
            <w:r>
              <w:rPr>
                <w:spacing w:val="-51"/>
                <w:sz w:val="18"/>
              </w:rPr>
              <w:t> 天</w:t>
            </w:r>
            <w:r>
              <w:rPr>
                <w:sz w:val="18"/>
              </w:rPr>
              <w:t>（</w:t>
            </w:r>
            <w:r>
              <w:rPr>
                <w:spacing w:val="-16"/>
                <w:sz w:val="18"/>
              </w:rPr>
              <w:t>一</w:t>
            </w:r>
            <w:r>
              <w:rPr>
                <w:spacing w:val="24"/>
                <w:sz w:val="18"/>
              </w:rPr>
              <w:t>般发病前 </w:t>
            </w:r>
            <w:r>
              <w:rPr>
                <w:spacing w:val="-6"/>
                <w:sz w:val="18"/>
              </w:rPr>
              <w:t>1~2 </w:t>
            </w:r>
            <w:r>
              <w:rPr>
                <w:sz w:val="18"/>
              </w:rPr>
              <w:t>天</w:t>
            </w:r>
            <w:r>
              <w:rPr>
                <w:spacing w:val="-58"/>
                <w:sz w:val="18"/>
              </w:rPr>
              <w:t>）</w:t>
            </w:r>
            <w:r>
              <w:rPr>
                <w:spacing w:val="-3"/>
                <w:sz w:val="18"/>
              </w:rPr>
              <w:t>到所有水泡</w:t>
            </w:r>
            <w:r>
              <w:rPr>
                <w:sz w:val="18"/>
              </w:rPr>
              <w:t>结痂期间</w:t>
            </w:r>
          </w:p>
        </w:tc>
        <w:tc>
          <w:tcPr>
            <w:tcW w:w="2128" w:type="dxa"/>
          </w:tcPr>
          <w:p>
            <w:pPr>
              <w:pStyle w:val="TableParagraph"/>
              <w:spacing w:line="242" w:lineRule="auto"/>
              <w:ind w:left="105" w:right="90"/>
              <w:jc w:val="both"/>
              <w:rPr>
                <w:sz w:val="18"/>
              </w:rPr>
            </w:pPr>
            <w:r>
              <w:rPr>
                <w:spacing w:val="10"/>
                <w:sz w:val="18"/>
              </w:rPr>
              <w:t>水痘疱疹全部干燥结痂</w:t>
            </w:r>
            <w:r>
              <w:rPr>
                <w:spacing w:val="-9"/>
                <w:sz w:val="18"/>
              </w:rPr>
              <w:t>为止，或不少于发病后 </w:t>
            </w:r>
            <w:r>
              <w:rPr>
                <w:sz w:val="18"/>
              </w:rPr>
              <w:t>1 周</w:t>
            </w:r>
          </w:p>
        </w:tc>
        <w:tc>
          <w:tcPr>
            <w:tcW w:w="716" w:type="dxa"/>
          </w:tcPr>
          <w:p>
            <w:pPr>
              <w:pStyle w:val="TableParagraph"/>
              <w:spacing w:line="230" w:lineRule="exact"/>
              <w:ind w:left="104"/>
              <w:jc w:val="both"/>
              <w:rPr>
                <w:sz w:val="18"/>
              </w:rPr>
            </w:pPr>
            <w:r>
              <w:rPr>
                <w:spacing w:val="16"/>
                <w:sz w:val="18"/>
              </w:rPr>
              <w:t>其 它</w:t>
            </w:r>
          </w:p>
          <w:p>
            <w:pPr>
              <w:pStyle w:val="TableParagraph"/>
              <w:spacing w:line="242" w:lineRule="auto" w:before="2"/>
              <w:ind w:left="104" w:right="100"/>
              <w:jc w:val="both"/>
              <w:rPr>
                <w:sz w:val="18"/>
              </w:rPr>
            </w:pPr>
            <w:r>
              <w:rPr>
                <w:spacing w:val="10"/>
                <w:sz w:val="18"/>
              </w:rPr>
              <w:t>传 染</w:t>
            </w:r>
            <w:r>
              <w:rPr>
                <w:spacing w:val="-20"/>
                <w:sz w:val="18"/>
              </w:rPr>
              <w:t>病，参</w:t>
            </w:r>
            <w:r>
              <w:rPr>
                <w:spacing w:val="10"/>
                <w:sz w:val="18"/>
              </w:rPr>
              <w:t>照 丙</w:t>
            </w:r>
          </w:p>
          <w:p>
            <w:pPr>
              <w:pStyle w:val="TableParagraph"/>
              <w:spacing w:line="230" w:lineRule="atLeast" w:before="2"/>
              <w:ind w:left="104" w:right="100"/>
              <w:jc w:val="both"/>
              <w:rPr>
                <w:sz w:val="18"/>
              </w:rPr>
            </w:pPr>
            <w:r>
              <w:rPr>
                <w:sz w:val="18"/>
              </w:rPr>
              <w:t>类 管理</w:t>
            </w:r>
          </w:p>
        </w:tc>
      </w:tr>
      <w:tr>
        <w:trPr>
          <w:trHeight w:val="1398" w:hRule="atLeast"/>
        </w:trPr>
        <w:tc>
          <w:tcPr>
            <w:tcW w:w="1625" w:type="dxa"/>
          </w:tcPr>
          <w:p>
            <w:pPr>
              <w:pStyle w:val="TableParagraph"/>
              <w:rPr>
                <w:sz w:val="18"/>
              </w:rPr>
            </w:pPr>
            <w:r>
              <w:rPr>
                <w:sz w:val="18"/>
              </w:rPr>
              <w:t>流行性腮腺炎</w:t>
            </w:r>
          </w:p>
        </w:tc>
        <w:tc>
          <w:tcPr>
            <w:tcW w:w="1561" w:type="dxa"/>
          </w:tcPr>
          <w:p>
            <w:pPr>
              <w:pStyle w:val="TableParagraph"/>
              <w:spacing w:line="242" w:lineRule="auto"/>
              <w:ind w:right="80"/>
              <w:jc w:val="both"/>
              <w:rPr>
                <w:sz w:val="18"/>
              </w:rPr>
            </w:pPr>
            <w:r>
              <w:rPr>
                <w:sz w:val="18"/>
              </w:rPr>
              <w:t>发热、一个或多个唾液腺肿胀及触痛为特征，多见于腮腺，有时也可见于舌下腺</w:t>
            </w:r>
          </w:p>
          <w:p>
            <w:pPr>
              <w:pStyle w:val="TableParagraph"/>
              <w:spacing w:line="213" w:lineRule="exact" w:before="1"/>
              <w:rPr>
                <w:sz w:val="18"/>
              </w:rPr>
            </w:pPr>
            <w:r>
              <w:rPr>
                <w:sz w:val="18"/>
              </w:rPr>
              <w:t>或颌下腺</w:t>
            </w:r>
          </w:p>
        </w:tc>
        <w:tc>
          <w:tcPr>
            <w:tcW w:w="992" w:type="dxa"/>
          </w:tcPr>
          <w:p>
            <w:pPr>
              <w:pStyle w:val="TableParagraph"/>
              <w:spacing w:line="242" w:lineRule="auto"/>
              <w:ind w:right="152"/>
              <w:rPr>
                <w:sz w:val="18"/>
              </w:rPr>
            </w:pPr>
            <w:r>
              <w:rPr>
                <w:sz w:val="18"/>
              </w:rPr>
              <w:t>飞沫传播接触传播</w:t>
            </w:r>
          </w:p>
        </w:tc>
        <w:tc>
          <w:tcPr>
            <w:tcW w:w="1420" w:type="dxa"/>
          </w:tcPr>
          <w:p>
            <w:pPr>
              <w:pStyle w:val="TableParagraph"/>
              <w:ind w:left="106"/>
              <w:rPr>
                <w:sz w:val="18"/>
              </w:rPr>
            </w:pPr>
            <w:r>
              <w:rPr>
                <w:sz w:val="18"/>
              </w:rPr>
              <w:t>腮腺肿大前 7</w:t>
            </w:r>
          </w:p>
          <w:p>
            <w:pPr>
              <w:pStyle w:val="TableParagraph"/>
              <w:spacing w:line="242" w:lineRule="auto" w:before="2"/>
              <w:ind w:left="106" w:right="100"/>
              <w:rPr>
                <w:sz w:val="18"/>
              </w:rPr>
            </w:pPr>
            <w:r>
              <w:rPr>
                <w:sz w:val="18"/>
              </w:rPr>
              <w:t>天至肿大后 9 天</w:t>
            </w:r>
          </w:p>
        </w:tc>
        <w:tc>
          <w:tcPr>
            <w:tcW w:w="2128" w:type="dxa"/>
          </w:tcPr>
          <w:p>
            <w:pPr>
              <w:pStyle w:val="TableParagraph"/>
              <w:ind w:left="105"/>
              <w:rPr>
                <w:sz w:val="18"/>
              </w:rPr>
            </w:pPr>
            <w:r>
              <w:rPr>
                <w:sz w:val="18"/>
              </w:rPr>
              <w:t>至腮腺肿大完全消退</w:t>
            </w:r>
          </w:p>
        </w:tc>
        <w:tc>
          <w:tcPr>
            <w:tcW w:w="716" w:type="dxa"/>
          </w:tcPr>
          <w:p>
            <w:pPr>
              <w:pStyle w:val="TableParagraph"/>
              <w:ind w:left="104"/>
              <w:rPr>
                <w:sz w:val="18"/>
              </w:rPr>
            </w:pPr>
            <w:r>
              <w:rPr>
                <w:sz w:val="18"/>
              </w:rPr>
              <w:t>丙类</w:t>
            </w:r>
          </w:p>
        </w:tc>
      </w:tr>
      <w:tr>
        <w:trPr>
          <w:trHeight w:val="936" w:hRule="atLeast"/>
        </w:trPr>
        <w:tc>
          <w:tcPr>
            <w:tcW w:w="1625" w:type="dxa"/>
          </w:tcPr>
          <w:p>
            <w:pPr>
              <w:pStyle w:val="TableParagraph"/>
              <w:spacing w:line="242" w:lineRule="auto" w:before="2"/>
              <w:ind w:right="100"/>
              <w:rPr>
                <w:sz w:val="18"/>
              </w:rPr>
            </w:pPr>
            <w:r>
              <w:rPr>
                <w:sz w:val="18"/>
              </w:rPr>
              <w:t>流行性脑脊髓膜炎</w:t>
            </w:r>
          </w:p>
        </w:tc>
        <w:tc>
          <w:tcPr>
            <w:tcW w:w="1561" w:type="dxa"/>
          </w:tcPr>
          <w:p>
            <w:pPr>
              <w:pStyle w:val="TableParagraph"/>
              <w:spacing w:line="242" w:lineRule="auto" w:before="2"/>
              <w:ind w:right="80"/>
              <w:jc w:val="both"/>
              <w:rPr>
                <w:sz w:val="18"/>
              </w:rPr>
            </w:pPr>
            <w:r>
              <w:rPr>
                <w:sz w:val="18"/>
              </w:rPr>
              <w:t>突发高热、剧烈头痛、恶心、呕吐、颈项强直和</w:t>
            </w:r>
          </w:p>
          <w:p>
            <w:pPr>
              <w:pStyle w:val="TableParagraph"/>
              <w:spacing w:line="215" w:lineRule="exact"/>
              <w:rPr>
                <w:sz w:val="18"/>
              </w:rPr>
            </w:pPr>
            <w:r>
              <w:rPr>
                <w:sz w:val="18"/>
              </w:rPr>
              <w:t>畏光</w:t>
            </w:r>
          </w:p>
        </w:tc>
        <w:tc>
          <w:tcPr>
            <w:tcW w:w="992" w:type="dxa"/>
          </w:tcPr>
          <w:p>
            <w:pPr>
              <w:pStyle w:val="TableParagraph"/>
              <w:spacing w:line="242" w:lineRule="auto" w:before="2"/>
              <w:ind w:right="152"/>
              <w:rPr>
                <w:sz w:val="18"/>
              </w:rPr>
            </w:pPr>
            <w:r>
              <w:rPr>
                <w:sz w:val="18"/>
              </w:rPr>
              <w:t>飞沫传播接触传播</w:t>
            </w:r>
          </w:p>
        </w:tc>
        <w:tc>
          <w:tcPr>
            <w:tcW w:w="1420" w:type="dxa"/>
          </w:tcPr>
          <w:p>
            <w:pPr>
              <w:pStyle w:val="TableParagraph"/>
              <w:spacing w:line="242" w:lineRule="auto" w:before="2"/>
              <w:ind w:left="106" w:right="77"/>
              <w:jc w:val="both"/>
              <w:rPr>
                <w:sz w:val="18"/>
              </w:rPr>
            </w:pPr>
            <w:r>
              <w:rPr>
                <w:sz w:val="18"/>
              </w:rPr>
              <w:t>直到鼻咽部排出物不再有活的脑膜炎球菌</w:t>
            </w:r>
          </w:p>
        </w:tc>
        <w:tc>
          <w:tcPr>
            <w:tcW w:w="2128" w:type="dxa"/>
          </w:tcPr>
          <w:p>
            <w:pPr>
              <w:pStyle w:val="TableParagraph"/>
              <w:spacing w:before="2"/>
              <w:ind w:left="105"/>
              <w:rPr>
                <w:sz w:val="18"/>
              </w:rPr>
            </w:pPr>
            <w:r>
              <w:rPr>
                <w:spacing w:val="-5"/>
                <w:sz w:val="18"/>
              </w:rPr>
              <w:t>隔离至症状消失后 </w:t>
            </w:r>
            <w:r>
              <w:rPr>
                <w:sz w:val="18"/>
              </w:rPr>
              <w:t>3</w:t>
            </w:r>
            <w:r>
              <w:rPr>
                <w:spacing w:val="-15"/>
                <w:sz w:val="18"/>
              </w:rPr>
              <w:t> 天，</w:t>
            </w:r>
          </w:p>
          <w:p>
            <w:pPr>
              <w:pStyle w:val="TableParagraph"/>
              <w:spacing w:before="2"/>
              <w:ind w:left="105"/>
              <w:rPr>
                <w:sz w:val="18"/>
              </w:rPr>
            </w:pPr>
            <w:r>
              <w:rPr>
                <w:sz w:val="18"/>
              </w:rPr>
              <w:t>一般不少于发病后 7 天</w:t>
            </w:r>
          </w:p>
        </w:tc>
        <w:tc>
          <w:tcPr>
            <w:tcW w:w="716" w:type="dxa"/>
          </w:tcPr>
          <w:p>
            <w:pPr>
              <w:pStyle w:val="TableParagraph"/>
              <w:spacing w:before="2"/>
              <w:ind w:left="104"/>
              <w:rPr>
                <w:sz w:val="18"/>
              </w:rPr>
            </w:pPr>
            <w:r>
              <w:rPr>
                <w:sz w:val="18"/>
              </w:rPr>
              <w:t>乙类</w:t>
            </w:r>
          </w:p>
        </w:tc>
      </w:tr>
      <w:tr>
        <w:trPr>
          <w:trHeight w:val="1165" w:hRule="atLeast"/>
        </w:trPr>
        <w:tc>
          <w:tcPr>
            <w:tcW w:w="1625" w:type="dxa"/>
          </w:tcPr>
          <w:p>
            <w:pPr>
              <w:pStyle w:val="TableParagraph"/>
              <w:spacing w:line="230" w:lineRule="exact"/>
              <w:rPr>
                <w:sz w:val="18"/>
              </w:rPr>
            </w:pPr>
            <w:r>
              <w:rPr>
                <w:sz w:val="18"/>
              </w:rPr>
              <w:t>风疹</w:t>
            </w:r>
          </w:p>
        </w:tc>
        <w:tc>
          <w:tcPr>
            <w:tcW w:w="1561" w:type="dxa"/>
          </w:tcPr>
          <w:p>
            <w:pPr>
              <w:pStyle w:val="TableParagraph"/>
              <w:spacing w:line="242" w:lineRule="auto"/>
              <w:ind w:right="77"/>
              <w:jc w:val="both"/>
              <w:rPr>
                <w:sz w:val="18"/>
              </w:rPr>
            </w:pPr>
            <w:r>
              <w:rPr>
                <w:sz w:val="18"/>
              </w:rPr>
              <w:t>1-5 天的轻度发热、头痛、不适合结膜充血，伴</w:t>
            </w:r>
          </w:p>
          <w:p>
            <w:pPr>
              <w:pStyle w:val="TableParagraph"/>
              <w:spacing w:line="230" w:lineRule="atLeast" w:before="2"/>
              <w:ind w:right="80"/>
              <w:rPr>
                <w:sz w:val="18"/>
              </w:rPr>
            </w:pPr>
            <w:r>
              <w:rPr>
                <w:sz w:val="18"/>
              </w:rPr>
              <w:t>有散在的小斑点和斑丘疹</w:t>
            </w:r>
          </w:p>
        </w:tc>
        <w:tc>
          <w:tcPr>
            <w:tcW w:w="992" w:type="dxa"/>
          </w:tcPr>
          <w:p>
            <w:pPr>
              <w:pStyle w:val="TableParagraph"/>
              <w:spacing w:line="242" w:lineRule="auto"/>
              <w:ind w:right="152"/>
              <w:rPr>
                <w:sz w:val="18"/>
              </w:rPr>
            </w:pPr>
            <w:r>
              <w:rPr>
                <w:sz w:val="18"/>
              </w:rPr>
              <w:t>飞沫传播接触传播</w:t>
            </w:r>
          </w:p>
        </w:tc>
        <w:tc>
          <w:tcPr>
            <w:tcW w:w="1420" w:type="dxa"/>
          </w:tcPr>
          <w:p>
            <w:pPr>
              <w:pStyle w:val="TableParagraph"/>
              <w:spacing w:line="230" w:lineRule="exact"/>
              <w:ind w:left="106"/>
              <w:rPr>
                <w:sz w:val="18"/>
              </w:rPr>
            </w:pPr>
            <w:r>
              <w:rPr>
                <w:sz w:val="18"/>
              </w:rPr>
              <w:t>皮疹出现前 1</w:t>
            </w:r>
          </w:p>
          <w:p>
            <w:pPr>
              <w:pStyle w:val="TableParagraph"/>
              <w:spacing w:line="242" w:lineRule="auto" w:before="2"/>
              <w:ind w:left="106" w:right="100"/>
              <w:rPr>
                <w:sz w:val="18"/>
              </w:rPr>
            </w:pPr>
            <w:r>
              <w:rPr>
                <w:sz w:val="18"/>
              </w:rPr>
              <w:t>周和出现后 4 天</w:t>
            </w:r>
          </w:p>
        </w:tc>
        <w:tc>
          <w:tcPr>
            <w:tcW w:w="2128" w:type="dxa"/>
          </w:tcPr>
          <w:p>
            <w:pPr>
              <w:pStyle w:val="TableParagraph"/>
              <w:spacing w:line="230" w:lineRule="exact"/>
              <w:ind w:left="105"/>
              <w:rPr>
                <w:sz w:val="18"/>
              </w:rPr>
            </w:pPr>
            <w:r>
              <w:rPr>
                <w:sz w:val="18"/>
              </w:rPr>
              <w:t>隔离至出疹后 5 天</w:t>
            </w:r>
          </w:p>
        </w:tc>
        <w:tc>
          <w:tcPr>
            <w:tcW w:w="716" w:type="dxa"/>
          </w:tcPr>
          <w:p>
            <w:pPr>
              <w:pStyle w:val="TableParagraph"/>
              <w:spacing w:line="230" w:lineRule="exact"/>
              <w:ind w:left="104"/>
              <w:rPr>
                <w:sz w:val="18"/>
              </w:rPr>
            </w:pPr>
            <w:r>
              <w:rPr>
                <w:sz w:val="18"/>
              </w:rPr>
              <w:t>丙类</w:t>
            </w:r>
          </w:p>
        </w:tc>
      </w:tr>
      <w:tr>
        <w:trPr>
          <w:trHeight w:val="1401" w:hRule="atLeast"/>
        </w:trPr>
        <w:tc>
          <w:tcPr>
            <w:tcW w:w="1625" w:type="dxa"/>
          </w:tcPr>
          <w:p>
            <w:pPr>
              <w:pStyle w:val="TableParagraph"/>
              <w:rPr>
                <w:sz w:val="18"/>
              </w:rPr>
            </w:pPr>
            <w:r>
              <w:rPr>
                <w:sz w:val="18"/>
              </w:rPr>
              <w:t>猩红热</w:t>
            </w:r>
          </w:p>
        </w:tc>
        <w:tc>
          <w:tcPr>
            <w:tcW w:w="1561" w:type="dxa"/>
          </w:tcPr>
          <w:p>
            <w:pPr>
              <w:pStyle w:val="TableParagraph"/>
              <w:spacing w:line="242" w:lineRule="auto"/>
              <w:ind w:right="80"/>
              <w:jc w:val="both"/>
              <w:rPr>
                <w:sz w:val="18"/>
              </w:rPr>
            </w:pPr>
            <w:r>
              <w:rPr>
                <w:sz w:val="18"/>
              </w:rPr>
              <w:t>发热、头痛、全身不适、咽痛、吞咽痛、咽部局部充血并可覆盖有脓性渗出物、</w:t>
            </w:r>
          </w:p>
          <w:p>
            <w:pPr>
              <w:pStyle w:val="TableParagraph"/>
              <w:spacing w:line="213" w:lineRule="exact" w:before="4"/>
              <w:rPr>
                <w:sz w:val="18"/>
              </w:rPr>
            </w:pPr>
            <w:r>
              <w:rPr>
                <w:sz w:val="18"/>
              </w:rPr>
              <w:t>皮疹伴有痒感</w:t>
            </w:r>
          </w:p>
        </w:tc>
        <w:tc>
          <w:tcPr>
            <w:tcW w:w="992" w:type="dxa"/>
          </w:tcPr>
          <w:p>
            <w:pPr>
              <w:pStyle w:val="TableParagraph"/>
              <w:spacing w:line="242" w:lineRule="auto"/>
              <w:ind w:right="152"/>
              <w:jc w:val="both"/>
              <w:rPr>
                <w:sz w:val="18"/>
              </w:rPr>
            </w:pPr>
            <w:r>
              <w:rPr>
                <w:sz w:val="18"/>
              </w:rPr>
              <w:t>飞沫传播接触传播创伤接触</w:t>
            </w:r>
          </w:p>
        </w:tc>
        <w:tc>
          <w:tcPr>
            <w:tcW w:w="1420" w:type="dxa"/>
          </w:tcPr>
          <w:p>
            <w:pPr>
              <w:pStyle w:val="TableParagraph"/>
              <w:spacing w:line="242" w:lineRule="auto"/>
              <w:ind w:left="106" w:right="77"/>
              <w:jc w:val="both"/>
              <w:rPr>
                <w:sz w:val="18"/>
              </w:rPr>
            </w:pPr>
            <w:r>
              <w:rPr>
                <w:sz w:val="18"/>
              </w:rPr>
              <w:t>发病前 24h 至疾病高峰时期传染性最强</w:t>
            </w:r>
          </w:p>
        </w:tc>
        <w:tc>
          <w:tcPr>
            <w:tcW w:w="2128" w:type="dxa"/>
          </w:tcPr>
          <w:p>
            <w:pPr>
              <w:pStyle w:val="TableParagraph"/>
              <w:spacing w:line="242" w:lineRule="auto"/>
              <w:ind w:left="105" w:right="99"/>
              <w:jc w:val="both"/>
              <w:rPr>
                <w:sz w:val="18"/>
              </w:rPr>
            </w:pPr>
            <w:r>
              <w:rPr>
                <w:sz w:val="18"/>
              </w:rPr>
              <w:t>至咽拭子培养连续 3</w:t>
            </w:r>
            <w:r>
              <w:rPr>
                <w:spacing w:val="-3"/>
                <w:sz w:val="18"/>
              </w:rPr>
              <w:t> 次</w:t>
            </w:r>
            <w:r>
              <w:rPr>
                <w:spacing w:val="-10"/>
                <w:sz w:val="18"/>
              </w:rPr>
              <w:t>阴性，且无化脓性并发症</w:t>
            </w:r>
            <w:r>
              <w:rPr>
                <w:spacing w:val="-35"/>
                <w:sz w:val="18"/>
              </w:rPr>
              <w:t>出现</w:t>
            </w:r>
            <w:r>
              <w:rPr>
                <w:sz w:val="18"/>
              </w:rPr>
              <w:t>（</w:t>
            </w:r>
            <w:r>
              <w:rPr>
                <w:spacing w:val="-2"/>
                <w:sz w:val="18"/>
              </w:rPr>
              <w:t>自有效抗生素治疗</w:t>
            </w:r>
            <w:r>
              <w:rPr>
                <w:spacing w:val="-7"/>
                <w:sz w:val="18"/>
              </w:rPr>
              <w:t>之日起不少于 </w:t>
            </w:r>
            <w:r>
              <w:rPr>
                <w:sz w:val="18"/>
              </w:rPr>
              <w:t>7</w:t>
            </w:r>
            <w:r>
              <w:rPr>
                <w:spacing w:val="-22"/>
                <w:sz w:val="18"/>
              </w:rPr>
              <w:t> 天</w:t>
            </w:r>
            <w:r>
              <w:rPr>
                <w:sz w:val="18"/>
              </w:rPr>
              <w:t>）</w:t>
            </w:r>
          </w:p>
        </w:tc>
        <w:tc>
          <w:tcPr>
            <w:tcW w:w="716" w:type="dxa"/>
          </w:tcPr>
          <w:p>
            <w:pPr>
              <w:pStyle w:val="TableParagraph"/>
              <w:ind w:left="104"/>
              <w:rPr>
                <w:sz w:val="18"/>
              </w:rPr>
            </w:pPr>
            <w:r>
              <w:rPr>
                <w:sz w:val="18"/>
              </w:rPr>
              <w:t>乙类</w:t>
            </w:r>
          </w:p>
        </w:tc>
      </w:tr>
      <w:tr>
        <w:trPr>
          <w:trHeight w:val="232" w:hRule="atLeast"/>
        </w:trPr>
        <w:tc>
          <w:tcPr>
            <w:tcW w:w="8442" w:type="dxa"/>
            <w:gridSpan w:val="6"/>
            <w:shd w:val="clear" w:color="auto" w:fill="E7E6E6"/>
          </w:tcPr>
          <w:p>
            <w:pPr>
              <w:pStyle w:val="TableParagraph"/>
              <w:spacing w:line="212" w:lineRule="exact"/>
              <w:rPr>
                <w:b/>
                <w:sz w:val="18"/>
              </w:rPr>
            </w:pPr>
            <w:r>
              <w:rPr>
                <w:b/>
                <w:sz w:val="18"/>
              </w:rPr>
              <w:t>肠道传染病</w:t>
            </w:r>
          </w:p>
        </w:tc>
      </w:tr>
      <w:tr>
        <w:trPr>
          <w:trHeight w:val="1168" w:hRule="atLeast"/>
        </w:trPr>
        <w:tc>
          <w:tcPr>
            <w:tcW w:w="1625" w:type="dxa"/>
          </w:tcPr>
          <w:p>
            <w:pPr>
              <w:pStyle w:val="TableParagraph"/>
              <w:rPr>
                <w:sz w:val="18"/>
              </w:rPr>
            </w:pPr>
            <w:r>
              <w:rPr>
                <w:sz w:val="18"/>
              </w:rPr>
              <w:t>手足口病</w:t>
            </w:r>
          </w:p>
        </w:tc>
        <w:tc>
          <w:tcPr>
            <w:tcW w:w="1561" w:type="dxa"/>
          </w:tcPr>
          <w:p>
            <w:pPr>
              <w:pStyle w:val="TableParagraph"/>
              <w:spacing w:line="242" w:lineRule="auto"/>
              <w:ind w:right="2"/>
              <w:rPr>
                <w:sz w:val="18"/>
              </w:rPr>
            </w:pPr>
            <w:r>
              <w:rPr>
                <w:sz w:val="18"/>
              </w:rPr>
              <w:t>发烧、食欲不振、咽痛、口腔、手掌、脚掌、臀部等出现斑丘疹、</w:t>
            </w:r>
          </w:p>
          <w:p>
            <w:pPr>
              <w:pStyle w:val="TableParagraph"/>
              <w:spacing w:line="213" w:lineRule="exact" w:before="4"/>
              <w:rPr>
                <w:sz w:val="18"/>
              </w:rPr>
            </w:pPr>
            <w:r>
              <w:rPr>
                <w:sz w:val="18"/>
              </w:rPr>
              <w:t>疱疹、溃疡。</w:t>
            </w:r>
          </w:p>
        </w:tc>
        <w:tc>
          <w:tcPr>
            <w:tcW w:w="992" w:type="dxa"/>
          </w:tcPr>
          <w:p>
            <w:pPr>
              <w:pStyle w:val="TableParagraph"/>
              <w:spacing w:line="242" w:lineRule="auto"/>
              <w:ind w:right="152"/>
              <w:jc w:val="both"/>
              <w:rPr>
                <w:sz w:val="18"/>
              </w:rPr>
            </w:pPr>
            <w:r>
              <w:rPr>
                <w:sz w:val="18"/>
              </w:rPr>
              <w:t>粪口传播飞沫传播接触传播</w:t>
            </w:r>
          </w:p>
        </w:tc>
        <w:tc>
          <w:tcPr>
            <w:tcW w:w="1420" w:type="dxa"/>
          </w:tcPr>
          <w:p>
            <w:pPr>
              <w:pStyle w:val="TableParagraph"/>
              <w:spacing w:line="242" w:lineRule="auto"/>
              <w:ind w:left="106" w:right="77"/>
              <w:jc w:val="both"/>
              <w:rPr>
                <w:sz w:val="18"/>
              </w:rPr>
            </w:pPr>
            <w:r>
              <w:rPr>
                <w:sz w:val="18"/>
              </w:rPr>
              <w:t>通常发病后一周内传染性最强</w:t>
            </w:r>
          </w:p>
        </w:tc>
        <w:tc>
          <w:tcPr>
            <w:tcW w:w="2128" w:type="dxa"/>
          </w:tcPr>
          <w:p>
            <w:pPr>
              <w:pStyle w:val="TableParagraph"/>
              <w:spacing w:line="244" w:lineRule="auto"/>
              <w:ind w:left="105" w:right="90"/>
              <w:rPr>
                <w:sz w:val="18"/>
              </w:rPr>
            </w:pPr>
            <w:r>
              <w:rPr>
                <w:sz w:val="18"/>
              </w:rPr>
              <w:t>自患儿被发现起至症状消失后 1 周</w:t>
            </w:r>
          </w:p>
        </w:tc>
        <w:tc>
          <w:tcPr>
            <w:tcW w:w="716" w:type="dxa"/>
          </w:tcPr>
          <w:p>
            <w:pPr>
              <w:pStyle w:val="TableParagraph"/>
              <w:ind w:left="104"/>
              <w:rPr>
                <w:sz w:val="18"/>
              </w:rPr>
            </w:pPr>
            <w:r>
              <w:rPr>
                <w:sz w:val="18"/>
              </w:rPr>
              <w:t>丙类</w:t>
            </w:r>
          </w:p>
        </w:tc>
      </w:tr>
      <w:tr>
        <w:trPr>
          <w:trHeight w:val="1165" w:hRule="atLeast"/>
        </w:trPr>
        <w:tc>
          <w:tcPr>
            <w:tcW w:w="1625" w:type="dxa"/>
          </w:tcPr>
          <w:p>
            <w:pPr>
              <w:pStyle w:val="TableParagraph"/>
              <w:rPr>
                <w:sz w:val="18"/>
              </w:rPr>
            </w:pPr>
            <w:r>
              <w:rPr>
                <w:sz w:val="18"/>
              </w:rPr>
              <w:t>诺如病毒胃肠炎</w:t>
            </w:r>
          </w:p>
        </w:tc>
        <w:tc>
          <w:tcPr>
            <w:tcW w:w="1561" w:type="dxa"/>
          </w:tcPr>
          <w:p>
            <w:pPr>
              <w:pStyle w:val="TableParagraph"/>
              <w:spacing w:line="242" w:lineRule="auto"/>
              <w:ind w:right="2"/>
              <w:rPr>
                <w:sz w:val="18"/>
              </w:rPr>
            </w:pPr>
            <w:r>
              <w:rPr>
                <w:sz w:val="18"/>
              </w:rPr>
              <w:t>腹泻和/ 或呕吐症状为主，恶心、腹痛、头痛、发热、畏寒和肌肉</w:t>
            </w:r>
          </w:p>
          <w:p>
            <w:pPr>
              <w:pStyle w:val="TableParagraph"/>
              <w:spacing w:line="213" w:lineRule="exact" w:before="1"/>
              <w:rPr>
                <w:sz w:val="18"/>
              </w:rPr>
            </w:pPr>
            <w:r>
              <w:rPr>
                <w:sz w:val="18"/>
              </w:rPr>
              <w:t>酸痛等症状为辅</w:t>
            </w:r>
          </w:p>
        </w:tc>
        <w:tc>
          <w:tcPr>
            <w:tcW w:w="992" w:type="dxa"/>
          </w:tcPr>
          <w:p>
            <w:pPr>
              <w:pStyle w:val="TableParagraph"/>
              <w:spacing w:line="242" w:lineRule="auto"/>
              <w:ind w:right="76"/>
              <w:jc w:val="both"/>
              <w:rPr>
                <w:sz w:val="18"/>
              </w:rPr>
            </w:pPr>
            <w:r>
              <w:rPr>
                <w:sz w:val="18"/>
              </w:rPr>
              <w:t>粪 口 传播、接触传播</w:t>
            </w:r>
          </w:p>
          <w:p>
            <w:pPr>
              <w:pStyle w:val="TableParagraph"/>
              <w:spacing w:line="230" w:lineRule="atLeast" w:before="2"/>
              <w:ind w:right="95"/>
              <w:rPr>
                <w:sz w:val="18"/>
              </w:rPr>
            </w:pPr>
            <w:r>
              <w:rPr>
                <w:sz w:val="18"/>
              </w:rPr>
              <w:t>气溶胶传播</w:t>
            </w:r>
          </w:p>
        </w:tc>
        <w:tc>
          <w:tcPr>
            <w:tcW w:w="1420" w:type="dxa"/>
          </w:tcPr>
          <w:p>
            <w:pPr>
              <w:pStyle w:val="TableParagraph"/>
              <w:spacing w:line="242" w:lineRule="auto"/>
              <w:ind w:left="106" w:right="77"/>
              <w:jc w:val="both"/>
              <w:rPr>
                <w:sz w:val="18"/>
              </w:rPr>
            </w:pPr>
            <w:r>
              <w:rPr>
                <w:spacing w:val="21"/>
                <w:sz w:val="18"/>
              </w:rPr>
              <w:t>潜伏期即可排</w:t>
            </w:r>
            <w:r>
              <w:rPr>
                <w:spacing w:val="-9"/>
                <w:sz w:val="18"/>
              </w:rPr>
              <w:t>出诺如病毒，排</w:t>
            </w:r>
            <w:r>
              <w:rPr>
                <w:spacing w:val="21"/>
                <w:sz w:val="18"/>
              </w:rPr>
              <w:t>毒高峰在发病</w:t>
            </w:r>
            <w:r>
              <w:rPr>
                <w:spacing w:val="-23"/>
                <w:sz w:val="18"/>
              </w:rPr>
              <w:t>后 </w:t>
            </w:r>
            <w:r>
              <w:rPr>
                <w:sz w:val="18"/>
              </w:rPr>
              <w:t>2-5</w:t>
            </w:r>
            <w:r>
              <w:rPr>
                <w:spacing w:val="-22"/>
                <w:sz w:val="18"/>
              </w:rPr>
              <w:t> 天</w:t>
            </w:r>
          </w:p>
        </w:tc>
        <w:tc>
          <w:tcPr>
            <w:tcW w:w="2128" w:type="dxa"/>
          </w:tcPr>
          <w:p>
            <w:pPr>
              <w:pStyle w:val="TableParagraph"/>
              <w:spacing w:line="242" w:lineRule="auto"/>
              <w:ind w:left="105" w:right="97"/>
              <w:jc w:val="both"/>
              <w:rPr>
                <w:sz w:val="18"/>
              </w:rPr>
            </w:pPr>
            <w:r>
              <w:rPr>
                <w:spacing w:val="11"/>
                <w:sz w:val="18"/>
              </w:rPr>
              <w:t>症状完全消失后 </w:t>
            </w:r>
            <w:r>
              <w:rPr>
                <w:sz w:val="18"/>
              </w:rPr>
              <w:t>72 小</w:t>
            </w:r>
            <w:r>
              <w:rPr>
                <w:spacing w:val="-10"/>
                <w:sz w:val="18"/>
              </w:rPr>
              <w:t>时，从事食品工作等重点</w:t>
            </w:r>
            <w:r>
              <w:rPr>
                <w:spacing w:val="-5"/>
                <w:sz w:val="18"/>
              </w:rPr>
              <w:t>人员症状消失后 </w:t>
            </w:r>
            <w:r>
              <w:rPr>
                <w:sz w:val="18"/>
              </w:rPr>
              <w:t>72</w:t>
            </w:r>
            <w:r>
              <w:rPr>
                <w:spacing w:val="-17"/>
                <w:sz w:val="18"/>
              </w:rPr>
              <w:t> 小时</w:t>
            </w:r>
          </w:p>
          <w:p>
            <w:pPr>
              <w:pStyle w:val="TableParagraph"/>
              <w:spacing w:line="230" w:lineRule="atLeast" w:before="2"/>
              <w:ind w:left="105" w:right="98"/>
              <w:jc w:val="both"/>
              <w:rPr>
                <w:sz w:val="18"/>
              </w:rPr>
            </w:pPr>
            <w:r>
              <w:rPr>
                <w:sz w:val="18"/>
              </w:rPr>
              <w:t>且 2 次实验室检测诺如病毒核酸阴性</w:t>
            </w:r>
          </w:p>
        </w:tc>
        <w:tc>
          <w:tcPr>
            <w:tcW w:w="716" w:type="dxa"/>
          </w:tcPr>
          <w:p>
            <w:pPr>
              <w:pStyle w:val="TableParagraph"/>
              <w:ind w:left="104"/>
              <w:rPr>
                <w:sz w:val="18"/>
              </w:rPr>
            </w:pPr>
            <w:r>
              <w:rPr>
                <w:sz w:val="18"/>
              </w:rPr>
              <w:t>丙类</w:t>
            </w:r>
          </w:p>
        </w:tc>
      </w:tr>
      <w:tr>
        <w:trPr>
          <w:trHeight w:val="935" w:hRule="atLeast"/>
        </w:trPr>
        <w:tc>
          <w:tcPr>
            <w:tcW w:w="1625" w:type="dxa"/>
          </w:tcPr>
          <w:p>
            <w:pPr>
              <w:pStyle w:val="TableParagraph"/>
              <w:rPr>
                <w:sz w:val="18"/>
              </w:rPr>
            </w:pPr>
            <w:r>
              <w:rPr>
                <w:sz w:val="18"/>
              </w:rPr>
              <w:t>痢疾</w:t>
            </w:r>
          </w:p>
        </w:tc>
        <w:tc>
          <w:tcPr>
            <w:tcW w:w="1561" w:type="dxa"/>
          </w:tcPr>
          <w:p>
            <w:pPr>
              <w:pStyle w:val="TableParagraph"/>
              <w:spacing w:line="242" w:lineRule="auto"/>
              <w:ind w:right="8"/>
              <w:jc w:val="both"/>
              <w:rPr>
                <w:sz w:val="18"/>
              </w:rPr>
            </w:pPr>
            <w:r>
              <w:rPr>
                <w:spacing w:val="14"/>
                <w:sz w:val="18"/>
              </w:rPr>
              <w:t>细菌性痢疾：起病急，畏寒、寒</w:t>
            </w:r>
            <w:r>
              <w:rPr>
                <w:spacing w:val="-4"/>
                <w:sz w:val="18"/>
              </w:rPr>
              <w:t>战伴高热、腹痛、</w:t>
            </w:r>
          </w:p>
          <w:p>
            <w:pPr>
              <w:pStyle w:val="TableParagraph"/>
              <w:spacing w:line="215" w:lineRule="exact" w:before="1"/>
              <w:rPr>
                <w:sz w:val="18"/>
              </w:rPr>
            </w:pPr>
            <w:r>
              <w:rPr>
                <w:spacing w:val="43"/>
                <w:sz w:val="18"/>
              </w:rPr>
              <w:t>腹泻和里急后</w:t>
            </w:r>
            <w:r>
              <w:rPr>
                <w:spacing w:val="-38"/>
                <w:sz w:val="18"/>
              </w:rPr>
              <w:t> </w:t>
            </w:r>
          </w:p>
        </w:tc>
        <w:tc>
          <w:tcPr>
            <w:tcW w:w="992" w:type="dxa"/>
          </w:tcPr>
          <w:p>
            <w:pPr>
              <w:pStyle w:val="TableParagraph"/>
              <w:rPr>
                <w:sz w:val="18"/>
              </w:rPr>
            </w:pPr>
            <w:r>
              <w:rPr>
                <w:sz w:val="18"/>
              </w:rPr>
              <w:t>粪口传播</w:t>
            </w:r>
          </w:p>
        </w:tc>
        <w:tc>
          <w:tcPr>
            <w:tcW w:w="1420" w:type="dxa"/>
          </w:tcPr>
          <w:p>
            <w:pPr>
              <w:pStyle w:val="TableParagraph"/>
              <w:spacing w:line="242" w:lineRule="auto"/>
              <w:ind w:left="106" w:right="77"/>
              <w:jc w:val="both"/>
              <w:rPr>
                <w:sz w:val="18"/>
              </w:rPr>
            </w:pPr>
            <w:r>
              <w:rPr>
                <w:spacing w:val="-9"/>
                <w:sz w:val="18"/>
              </w:rPr>
              <w:t>细菌性痢疾：患</w:t>
            </w:r>
            <w:r>
              <w:rPr>
                <w:spacing w:val="21"/>
                <w:sz w:val="18"/>
              </w:rPr>
              <w:t>者和带菌者是</w:t>
            </w:r>
            <w:r>
              <w:rPr>
                <w:sz w:val="18"/>
              </w:rPr>
              <w:t>主要传染源</w:t>
            </w:r>
          </w:p>
          <w:p>
            <w:pPr>
              <w:pStyle w:val="TableParagraph"/>
              <w:spacing w:line="215" w:lineRule="exact" w:before="1"/>
              <w:ind w:left="106"/>
              <w:rPr>
                <w:sz w:val="18"/>
              </w:rPr>
            </w:pPr>
            <w:r>
              <w:rPr>
                <w:sz w:val="18"/>
              </w:rPr>
              <w:t>阿米巴痢疾：无</w:t>
            </w:r>
          </w:p>
        </w:tc>
        <w:tc>
          <w:tcPr>
            <w:tcW w:w="2128" w:type="dxa"/>
          </w:tcPr>
          <w:p>
            <w:pPr>
              <w:pStyle w:val="TableParagraph"/>
              <w:spacing w:before="4"/>
              <w:ind w:left="0"/>
              <w:rPr>
                <w:b/>
                <w:sz w:val="18"/>
              </w:rPr>
            </w:pPr>
          </w:p>
          <w:p>
            <w:pPr>
              <w:pStyle w:val="TableParagraph"/>
              <w:spacing w:line="242" w:lineRule="auto"/>
              <w:ind w:left="105" w:right="101"/>
              <w:rPr>
                <w:sz w:val="18"/>
              </w:rPr>
            </w:pPr>
            <w:r>
              <w:rPr>
                <w:spacing w:val="-7"/>
                <w:sz w:val="18"/>
              </w:rPr>
              <w:t>临床症状消失后 </w:t>
            </w:r>
            <w:r>
              <w:rPr>
                <w:sz w:val="18"/>
              </w:rPr>
              <w:t>1</w:t>
            </w:r>
            <w:r>
              <w:rPr>
                <w:spacing w:val="-27"/>
                <w:sz w:val="18"/>
              </w:rPr>
              <w:t> 周或 </w:t>
            </w:r>
            <w:r>
              <w:rPr>
                <w:spacing w:val="-17"/>
                <w:sz w:val="18"/>
              </w:rPr>
              <w:t>2 </w:t>
            </w:r>
            <w:r>
              <w:rPr>
                <w:sz w:val="18"/>
              </w:rPr>
              <w:t>次（隔日）粪培养阴性</w:t>
            </w:r>
          </w:p>
        </w:tc>
        <w:tc>
          <w:tcPr>
            <w:tcW w:w="716" w:type="dxa"/>
          </w:tcPr>
          <w:p>
            <w:pPr>
              <w:pStyle w:val="TableParagraph"/>
              <w:ind w:left="104"/>
              <w:rPr>
                <w:sz w:val="18"/>
              </w:rPr>
            </w:pPr>
            <w:r>
              <w:rPr>
                <w:sz w:val="18"/>
              </w:rPr>
              <w:t>乙类</w:t>
            </w:r>
          </w:p>
        </w:tc>
      </w:tr>
    </w:tbl>
    <w:p>
      <w:pPr>
        <w:spacing w:after="0"/>
        <w:rPr>
          <w:sz w:val="18"/>
        </w:rPr>
        <w:sectPr>
          <w:type w:val="continuous"/>
          <w:pgSz w:w="11910" w:h="16840"/>
          <w:pgMar w:top="1580" w:bottom="280" w:left="1620" w:right="1580"/>
        </w:sect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25"/>
        <w:gridCol w:w="1561"/>
        <w:gridCol w:w="992"/>
        <w:gridCol w:w="1420"/>
        <w:gridCol w:w="2128"/>
        <w:gridCol w:w="716"/>
      </w:tblGrid>
      <w:tr>
        <w:trPr>
          <w:trHeight w:val="2335" w:hRule="atLeast"/>
        </w:trPr>
        <w:tc>
          <w:tcPr>
            <w:tcW w:w="1625" w:type="dxa"/>
          </w:tcPr>
          <w:p>
            <w:pPr>
              <w:pStyle w:val="TableParagraph"/>
              <w:ind w:left="0"/>
              <w:rPr>
                <w:rFonts w:ascii="Times New Roman"/>
                <w:sz w:val="18"/>
              </w:rPr>
            </w:pPr>
          </w:p>
        </w:tc>
        <w:tc>
          <w:tcPr>
            <w:tcW w:w="1561" w:type="dxa"/>
          </w:tcPr>
          <w:p>
            <w:pPr>
              <w:pStyle w:val="TableParagraph"/>
              <w:spacing w:line="244" w:lineRule="auto"/>
              <w:ind w:right="44"/>
              <w:jc w:val="both"/>
              <w:rPr>
                <w:sz w:val="18"/>
              </w:rPr>
            </w:pPr>
            <w:r>
              <w:rPr>
                <w:spacing w:val="43"/>
                <w:sz w:val="18"/>
              </w:rPr>
              <w:t>重，每天排便10~20</w:t>
            </w:r>
            <w:r>
              <w:rPr>
                <w:spacing w:val="-17"/>
                <w:sz w:val="18"/>
              </w:rPr>
              <w:t> 次，呈脓血便或粘液便</w:t>
            </w:r>
          </w:p>
          <w:p>
            <w:pPr>
              <w:pStyle w:val="TableParagraph"/>
              <w:spacing w:line="242" w:lineRule="auto"/>
              <w:ind w:right="80"/>
              <w:jc w:val="both"/>
              <w:rPr>
                <w:sz w:val="18"/>
              </w:rPr>
            </w:pPr>
            <w:r>
              <w:rPr>
                <w:sz w:val="18"/>
              </w:rPr>
              <w:t>阿米巴痢疾：起病缓慢，间歇性腹痛，腹泻、果酱样黏液便，全身症状不重，但迁延为慢性或多</w:t>
            </w:r>
          </w:p>
          <w:p>
            <w:pPr>
              <w:pStyle w:val="TableParagraph"/>
              <w:spacing w:line="213" w:lineRule="exact"/>
              <w:rPr>
                <w:sz w:val="18"/>
              </w:rPr>
            </w:pPr>
            <w:r>
              <w:rPr>
                <w:sz w:val="18"/>
              </w:rPr>
              <w:t>次复发</w:t>
            </w:r>
          </w:p>
        </w:tc>
        <w:tc>
          <w:tcPr>
            <w:tcW w:w="992" w:type="dxa"/>
          </w:tcPr>
          <w:p>
            <w:pPr>
              <w:pStyle w:val="TableParagraph"/>
              <w:ind w:left="0"/>
              <w:rPr>
                <w:rFonts w:ascii="Times New Roman"/>
                <w:sz w:val="18"/>
              </w:rPr>
            </w:pPr>
          </w:p>
        </w:tc>
        <w:tc>
          <w:tcPr>
            <w:tcW w:w="1420" w:type="dxa"/>
          </w:tcPr>
          <w:p>
            <w:pPr>
              <w:pStyle w:val="TableParagraph"/>
              <w:spacing w:line="244" w:lineRule="auto"/>
              <w:ind w:left="106" w:right="41"/>
              <w:jc w:val="both"/>
              <w:rPr>
                <w:sz w:val="18"/>
              </w:rPr>
            </w:pPr>
            <w:r>
              <w:rPr>
                <w:sz w:val="18"/>
              </w:rPr>
              <w:t>症状排包囊者、慢性和恢复期患者是传染源</w:t>
            </w:r>
          </w:p>
        </w:tc>
        <w:tc>
          <w:tcPr>
            <w:tcW w:w="2128" w:type="dxa"/>
          </w:tcPr>
          <w:p>
            <w:pPr>
              <w:pStyle w:val="TableParagraph"/>
              <w:ind w:left="0"/>
              <w:rPr>
                <w:rFonts w:ascii="Times New Roman"/>
                <w:sz w:val="18"/>
              </w:rPr>
            </w:pPr>
          </w:p>
        </w:tc>
        <w:tc>
          <w:tcPr>
            <w:tcW w:w="716" w:type="dxa"/>
          </w:tcPr>
          <w:p>
            <w:pPr>
              <w:pStyle w:val="TableParagraph"/>
              <w:ind w:left="0"/>
              <w:rPr>
                <w:rFonts w:ascii="Times New Roman"/>
                <w:sz w:val="18"/>
              </w:rPr>
            </w:pPr>
          </w:p>
        </w:tc>
      </w:tr>
      <w:tr>
        <w:trPr>
          <w:trHeight w:val="1165" w:hRule="atLeast"/>
        </w:trPr>
        <w:tc>
          <w:tcPr>
            <w:tcW w:w="1625" w:type="dxa"/>
          </w:tcPr>
          <w:p>
            <w:pPr>
              <w:pStyle w:val="TableParagraph"/>
              <w:rPr>
                <w:sz w:val="18"/>
              </w:rPr>
            </w:pPr>
            <w:r>
              <w:rPr>
                <w:sz w:val="18"/>
              </w:rPr>
              <w:t>伤寒/副伤寒</w:t>
            </w:r>
          </w:p>
        </w:tc>
        <w:tc>
          <w:tcPr>
            <w:tcW w:w="1561" w:type="dxa"/>
          </w:tcPr>
          <w:p>
            <w:pPr>
              <w:pStyle w:val="TableParagraph"/>
              <w:spacing w:line="242" w:lineRule="auto"/>
              <w:ind w:right="80"/>
              <w:jc w:val="both"/>
              <w:rPr>
                <w:sz w:val="18"/>
              </w:rPr>
            </w:pPr>
            <w:r>
              <w:rPr>
                <w:sz w:val="18"/>
              </w:rPr>
              <w:t>持续发热、明显头痛、不适、厌食、相对缓脉、脾肿大，25%肤色</w:t>
            </w:r>
          </w:p>
          <w:p>
            <w:pPr>
              <w:pStyle w:val="TableParagraph"/>
              <w:spacing w:line="213" w:lineRule="exact" w:before="1"/>
              <w:rPr>
                <w:sz w:val="18"/>
              </w:rPr>
            </w:pPr>
            <w:r>
              <w:rPr>
                <w:sz w:val="18"/>
              </w:rPr>
              <w:t>白者可见玫瑰疹</w:t>
            </w:r>
          </w:p>
        </w:tc>
        <w:tc>
          <w:tcPr>
            <w:tcW w:w="992" w:type="dxa"/>
          </w:tcPr>
          <w:p>
            <w:pPr>
              <w:pStyle w:val="TableParagraph"/>
              <w:rPr>
                <w:sz w:val="18"/>
              </w:rPr>
            </w:pPr>
            <w:r>
              <w:rPr>
                <w:sz w:val="18"/>
              </w:rPr>
              <w:t>粪口传播</w:t>
            </w:r>
          </w:p>
        </w:tc>
        <w:tc>
          <w:tcPr>
            <w:tcW w:w="1420" w:type="dxa"/>
          </w:tcPr>
          <w:p>
            <w:pPr>
              <w:pStyle w:val="TableParagraph"/>
              <w:spacing w:line="242" w:lineRule="auto"/>
              <w:ind w:left="106" w:right="77"/>
              <w:jc w:val="both"/>
              <w:rPr>
                <w:sz w:val="18"/>
              </w:rPr>
            </w:pPr>
            <w:r>
              <w:rPr>
                <w:spacing w:val="21"/>
                <w:sz w:val="18"/>
              </w:rPr>
              <w:t>细菌在排泄物中存在即有传</w:t>
            </w:r>
            <w:r>
              <w:rPr>
                <w:spacing w:val="-9"/>
                <w:sz w:val="18"/>
              </w:rPr>
              <w:t>染性。通常从第1</w:t>
            </w:r>
            <w:r>
              <w:rPr>
                <w:spacing w:val="-10"/>
                <w:sz w:val="18"/>
              </w:rPr>
              <w:t> 周至恢复期，</w:t>
            </w:r>
          </w:p>
          <w:p>
            <w:pPr>
              <w:pStyle w:val="TableParagraph"/>
              <w:spacing w:line="213" w:lineRule="exact" w:before="1"/>
              <w:ind w:left="106"/>
              <w:rPr>
                <w:sz w:val="18"/>
              </w:rPr>
            </w:pPr>
            <w:r>
              <w:rPr>
                <w:sz w:val="18"/>
              </w:rPr>
              <w:t>时间长短不一</w:t>
            </w:r>
          </w:p>
        </w:tc>
        <w:tc>
          <w:tcPr>
            <w:tcW w:w="2128" w:type="dxa"/>
          </w:tcPr>
          <w:p>
            <w:pPr>
              <w:pStyle w:val="TableParagraph"/>
              <w:ind w:left="105"/>
              <w:rPr>
                <w:sz w:val="18"/>
              </w:rPr>
            </w:pPr>
            <w:r>
              <w:rPr>
                <w:spacing w:val="-6"/>
                <w:sz w:val="18"/>
              </w:rPr>
              <w:t>体温正常后 </w:t>
            </w:r>
            <w:r>
              <w:rPr>
                <w:sz w:val="18"/>
              </w:rPr>
              <w:t>15</w:t>
            </w:r>
            <w:r>
              <w:rPr>
                <w:spacing w:val="-8"/>
                <w:sz w:val="18"/>
              </w:rPr>
              <w:t> 日解除隔</w:t>
            </w:r>
          </w:p>
          <w:p>
            <w:pPr>
              <w:pStyle w:val="TableParagraph"/>
              <w:spacing w:before="2"/>
              <w:ind w:left="105"/>
              <w:rPr>
                <w:sz w:val="18"/>
              </w:rPr>
            </w:pPr>
            <w:r>
              <w:rPr>
                <w:spacing w:val="10"/>
                <w:sz w:val="18"/>
              </w:rPr>
              <w:t>离，或症状消失后第 </w:t>
            </w:r>
            <w:r>
              <w:rPr>
                <w:sz w:val="18"/>
              </w:rPr>
              <w:t>5</w:t>
            </w:r>
          </w:p>
          <w:p>
            <w:pPr>
              <w:pStyle w:val="TableParagraph"/>
              <w:spacing w:line="242" w:lineRule="auto" w:before="4"/>
              <w:ind w:left="105" w:right="99"/>
              <w:rPr>
                <w:sz w:val="18"/>
              </w:rPr>
            </w:pPr>
            <w:r>
              <w:rPr>
                <w:sz w:val="18"/>
              </w:rPr>
              <w:t>日起间歇送粪培养 2 次阴性后解除隔离</w:t>
            </w:r>
          </w:p>
        </w:tc>
        <w:tc>
          <w:tcPr>
            <w:tcW w:w="716" w:type="dxa"/>
          </w:tcPr>
          <w:p>
            <w:pPr>
              <w:pStyle w:val="TableParagraph"/>
              <w:ind w:left="104"/>
              <w:rPr>
                <w:sz w:val="18"/>
              </w:rPr>
            </w:pPr>
            <w:r>
              <w:rPr>
                <w:sz w:val="18"/>
              </w:rPr>
              <w:t>乙类</w:t>
            </w:r>
          </w:p>
        </w:tc>
      </w:tr>
      <w:tr>
        <w:trPr>
          <w:trHeight w:val="1169" w:hRule="atLeast"/>
        </w:trPr>
        <w:tc>
          <w:tcPr>
            <w:tcW w:w="1625" w:type="dxa"/>
          </w:tcPr>
          <w:p>
            <w:pPr>
              <w:pStyle w:val="TableParagraph"/>
              <w:rPr>
                <w:sz w:val="18"/>
              </w:rPr>
            </w:pPr>
            <w:r>
              <w:rPr>
                <w:sz w:val="18"/>
              </w:rPr>
              <w:t>甲肝</w:t>
            </w:r>
          </w:p>
        </w:tc>
        <w:tc>
          <w:tcPr>
            <w:tcW w:w="1561" w:type="dxa"/>
          </w:tcPr>
          <w:p>
            <w:pPr>
              <w:pStyle w:val="TableParagraph"/>
              <w:spacing w:line="242" w:lineRule="auto"/>
              <w:ind w:right="2"/>
              <w:rPr>
                <w:sz w:val="18"/>
              </w:rPr>
            </w:pPr>
            <w:r>
              <w:rPr>
                <w:sz w:val="18"/>
              </w:rPr>
              <w:t>突然发热、不适、食欲减退、恶心和腹部不适、伴黄疸</w:t>
            </w:r>
          </w:p>
        </w:tc>
        <w:tc>
          <w:tcPr>
            <w:tcW w:w="992" w:type="dxa"/>
          </w:tcPr>
          <w:p>
            <w:pPr>
              <w:pStyle w:val="TableParagraph"/>
              <w:rPr>
                <w:sz w:val="18"/>
              </w:rPr>
            </w:pPr>
            <w:r>
              <w:rPr>
                <w:sz w:val="18"/>
              </w:rPr>
              <w:t>粪口传播</w:t>
            </w:r>
          </w:p>
        </w:tc>
        <w:tc>
          <w:tcPr>
            <w:tcW w:w="1420" w:type="dxa"/>
          </w:tcPr>
          <w:p>
            <w:pPr>
              <w:pStyle w:val="TableParagraph"/>
              <w:spacing w:line="242" w:lineRule="auto"/>
              <w:ind w:left="106" w:right="41"/>
              <w:rPr>
                <w:sz w:val="18"/>
              </w:rPr>
            </w:pPr>
            <w:r>
              <w:rPr>
                <w:sz w:val="18"/>
              </w:rPr>
              <w:t>潜伏期至发病早期有传染性， 在黄疸出现 1 周后就无传染</w:t>
            </w:r>
          </w:p>
          <w:p>
            <w:pPr>
              <w:pStyle w:val="TableParagraph"/>
              <w:spacing w:line="213" w:lineRule="exact" w:before="4"/>
              <w:ind w:left="106"/>
              <w:rPr>
                <w:sz w:val="18"/>
              </w:rPr>
            </w:pPr>
            <w:r>
              <w:rPr>
                <w:sz w:val="18"/>
              </w:rPr>
              <w:t>性</w:t>
            </w:r>
          </w:p>
        </w:tc>
        <w:tc>
          <w:tcPr>
            <w:tcW w:w="2128" w:type="dxa"/>
          </w:tcPr>
          <w:p>
            <w:pPr>
              <w:pStyle w:val="TableParagraph"/>
              <w:ind w:left="105"/>
              <w:rPr>
                <w:sz w:val="18"/>
              </w:rPr>
            </w:pPr>
            <w:r>
              <w:rPr>
                <w:sz w:val="18"/>
              </w:rPr>
              <w:t>自发病日起三周</w:t>
            </w:r>
          </w:p>
        </w:tc>
        <w:tc>
          <w:tcPr>
            <w:tcW w:w="716" w:type="dxa"/>
          </w:tcPr>
          <w:p>
            <w:pPr>
              <w:pStyle w:val="TableParagraph"/>
              <w:ind w:left="104"/>
              <w:rPr>
                <w:sz w:val="18"/>
              </w:rPr>
            </w:pPr>
            <w:r>
              <w:rPr>
                <w:sz w:val="18"/>
              </w:rPr>
              <w:t>乙类</w:t>
            </w:r>
          </w:p>
        </w:tc>
      </w:tr>
      <w:tr>
        <w:trPr>
          <w:trHeight w:val="1166" w:hRule="atLeast"/>
        </w:trPr>
        <w:tc>
          <w:tcPr>
            <w:tcW w:w="1625" w:type="dxa"/>
          </w:tcPr>
          <w:p>
            <w:pPr>
              <w:pStyle w:val="TableParagraph"/>
              <w:rPr>
                <w:sz w:val="18"/>
              </w:rPr>
            </w:pPr>
            <w:r>
              <w:rPr>
                <w:sz w:val="18"/>
              </w:rPr>
              <w:t>霍乱</w:t>
            </w:r>
          </w:p>
        </w:tc>
        <w:tc>
          <w:tcPr>
            <w:tcW w:w="1561" w:type="dxa"/>
          </w:tcPr>
          <w:p>
            <w:pPr>
              <w:pStyle w:val="TableParagraph"/>
              <w:spacing w:line="242" w:lineRule="auto"/>
              <w:ind w:right="80"/>
              <w:jc w:val="both"/>
              <w:rPr>
                <w:sz w:val="18"/>
              </w:rPr>
            </w:pPr>
            <w:r>
              <w:rPr>
                <w:spacing w:val="14"/>
                <w:sz w:val="18"/>
              </w:rPr>
              <w:t>腹泻（</w:t>
            </w:r>
            <w:r>
              <w:rPr>
                <w:spacing w:val="10"/>
                <w:sz w:val="18"/>
              </w:rPr>
              <w:t>重型可表</w:t>
            </w:r>
            <w:r>
              <w:rPr>
                <w:spacing w:val="11"/>
                <w:sz w:val="18"/>
              </w:rPr>
              <w:t>现为大量无痛性水样便</w:t>
            </w:r>
            <w:r>
              <w:rPr>
                <w:spacing w:val="-92"/>
                <w:sz w:val="18"/>
              </w:rPr>
              <w:t>）</w:t>
            </w:r>
            <w:r>
              <w:rPr>
                <w:spacing w:val="-3"/>
                <w:sz w:val="18"/>
              </w:rPr>
              <w:t>、恶心和</w:t>
            </w:r>
            <w:r>
              <w:rPr>
                <w:spacing w:val="14"/>
                <w:sz w:val="18"/>
              </w:rPr>
              <w:t>剧烈（大量）</w:t>
            </w:r>
            <w:r>
              <w:rPr>
                <w:sz w:val="18"/>
              </w:rPr>
              <w:t>呕</w:t>
            </w:r>
          </w:p>
          <w:p>
            <w:pPr>
              <w:pStyle w:val="TableParagraph"/>
              <w:spacing w:line="213" w:lineRule="exact" w:before="1"/>
              <w:rPr>
                <w:sz w:val="18"/>
              </w:rPr>
            </w:pPr>
            <w:r>
              <w:rPr>
                <w:sz w:val="18"/>
              </w:rPr>
              <w:t>吐</w:t>
            </w:r>
          </w:p>
        </w:tc>
        <w:tc>
          <w:tcPr>
            <w:tcW w:w="992" w:type="dxa"/>
          </w:tcPr>
          <w:p>
            <w:pPr>
              <w:pStyle w:val="TableParagraph"/>
              <w:rPr>
                <w:sz w:val="18"/>
              </w:rPr>
            </w:pPr>
            <w:r>
              <w:rPr>
                <w:sz w:val="18"/>
              </w:rPr>
              <w:t>粪口传播</w:t>
            </w:r>
          </w:p>
        </w:tc>
        <w:tc>
          <w:tcPr>
            <w:tcW w:w="1420" w:type="dxa"/>
          </w:tcPr>
          <w:p>
            <w:pPr>
              <w:pStyle w:val="TableParagraph"/>
              <w:spacing w:line="242" w:lineRule="auto"/>
              <w:ind w:left="106" w:right="77"/>
              <w:rPr>
                <w:sz w:val="18"/>
              </w:rPr>
            </w:pPr>
            <w:r>
              <w:rPr>
                <w:sz w:val="18"/>
              </w:rPr>
              <w:t>粪检阳性期都有传染性</w:t>
            </w:r>
          </w:p>
        </w:tc>
        <w:tc>
          <w:tcPr>
            <w:tcW w:w="2128" w:type="dxa"/>
          </w:tcPr>
          <w:p>
            <w:pPr>
              <w:pStyle w:val="TableParagraph"/>
              <w:spacing w:line="242" w:lineRule="auto"/>
              <w:ind w:left="105" w:right="99"/>
              <w:rPr>
                <w:sz w:val="18"/>
              </w:rPr>
            </w:pPr>
            <w:r>
              <w:rPr>
                <w:sz w:val="18"/>
              </w:rPr>
              <w:t>停用抗生素后连续 2 次粪检阴性</w:t>
            </w:r>
          </w:p>
        </w:tc>
        <w:tc>
          <w:tcPr>
            <w:tcW w:w="716" w:type="dxa"/>
          </w:tcPr>
          <w:p>
            <w:pPr>
              <w:pStyle w:val="TableParagraph"/>
              <w:ind w:left="104"/>
              <w:rPr>
                <w:sz w:val="18"/>
              </w:rPr>
            </w:pPr>
            <w:r>
              <w:rPr>
                <w:sz w:val="18"/>
              </w:rPr>
              <w:t>甲类</w:t>
            </w:r>
          </w:p>
        </w:tc>
      </w:tr>
      <w:tr>
        <w:trPr>
          <w:trHeight w:val="234" w:hRule="atLeast"/>
        </w:trPr>
        <w:tc>
          <w:tcPr>
            <w:tcW w:w="8442" w:type="dxa"/>
            <w:gridSpan w:val="6"/>
            <w:shd w:val="clear" w:color="auto" w:fill="E7E6E6"/>
          </w:tcPr>
          <w:p>
            <w:pPr>
              <w:pStyle w:val="TableParagraph"/>
              <w:spacing w:line="215" w:lineRule="exact"/>
              <w:rPr>
                <w:b/>
                <w:sz w:val="18"/>
              </w:rPr>
            </w:pPr>
            <w:r>
              <w:rPr>
                <w:b/>
                <w:sz w:val="18"/>
              </w:rPr>
              <w:t>其他</w:t>
            </w:r>
          </w:p>
        </w:tc>
      </w:tr>
      <w:tr>
        <w:trPr>
          <w:trHeight w:val="467" w:hRule="atLeast"/>
        </w:trPr>
        <w:tc>
          <w:tcPr>
            <w:tcW w:w="1625" w:type="dxa"/>
          </w:tcPr>
          <w:p>
            <w:pPr>
              <w:pStyle w:val="TableParagraph"/>
              <w:spacing w:line="230" w:lineRule="exact"/>
              <w:rPr>
                <w:sz w:val="18"/>
              </w:rPr>
            </w:pPr>
            <w:r>
              <w:rPr>
                <w:sz w:val="18"/>
              </w:rPr>
              <w:t>急性出血性结膜</w:t>
            </w:r>
          </w:p>
          <w:p>
            <w:pPr>
              <w:pStyle w:val="TableParagraph"/>
              <w:spacing w:line="215" w:lineRule="exact" w:before="2"/>
              <w:rPr>
                <w:sz w:val="18"/>
              </w:rPr>
            </w:pPr>
            <w:r>
              <w:rPr>
                <w:sz w:val="18"/>
              </w:rPr>
              <w:t>炎</w:t>
            </w:r>
          </w:p>
        </w:tc>
        <w:tc>
          <w:tcPr>
            <w:tcW w:w="1561" w:type="dxa"/>
          </w:tcPr>
          <w:p>
            <w:pPr>
              <w:pStyle w:val="TableParagraph"/>
              <w:spacing w:line="230" w:lineRule="exact"/>
              <w:rPr>
                <w:sz w:val="18"/>
              </w:rPr>
            </w:pPr>
            <w:r>
              <w:rPr>
                <w:sz w:val="18"/>
              </w:rPr>
              <w:t>结膜充血、眼刺</w:t>
            </w:r>
          </w:p>
          <w:p>
            <w:pPr>
              <w:pStyle w:val="TableParagraph"/>
              <w:spacing w:line="215" w:lineRule="exact" w:before="2"/>
              <w:rPr>
                <w:sz w:val="18"/>
              </w:rPr>
            </w:pPr>
            <w:r>
              <w:rPr>
                <w:sz w:val="18"/>
              </w:rPr>
              <w:t>激症状、流泪</w:t>
            </w:r>
          </w:p>
        </w:tc>
        <w:tc>
          <w:tcPr>
            <w:tcW w:w="992" w:type="dxa"/>
          </w:tcPr>
          <w:p>
            <w:pPr>
              <w:pStyle w:val="TableParagraph"/>
              <w:spacing w:line="230" w:lineRule="exact"/>
              <w:rPr>
                <w:sz w:val="18"/>
              </w:rPr>
            </w:pPr>
            <w:r>
              <w:rPr>
                <w:sz w:val="18"/>
              </w:rPr>
              <w:t>接触传播</w:t>
            </w:r>
          </w:p>
        </w:tc>
        <w:tc>
          <w:tcPr>
            <w:tcW w:w="1420" w:type="dxa"/>
          </w:tcPr>
          <w:p>
            <w:pPr>
              <w:pStyle w:val="TableParagraph"/>
              <w:spacing w:line="230" w:lineRule="exact"/>
              <w:ind w:left="106"/>
              <w:rPr>
                <w:sz w:val="18"/>
              </w:rPr>
            </w:pPr>
            <w:r>
              <w:rPr>
                <w:sz w:val="18"/>
              </w:rPr>
              <w:t>起病后至少 4</w:t>
            </w:r>
          </w:p>
          <w:p>
            <w:pPr>
              <w:pStyle w:val="TableParagraph"/>
              <w:spacing w:line="215" w:lineRule="exact" w:before="2"/>
              <w:ind w:left="106"/>
              <w:rPr>
                <w:sz w:val="18"/>
              </w:rPr>
            </w:pPr>
            <w:r>
              <w:rPr>
                <w:sz w:val="18"/>
              </w:rPr>
              <w:t>天</w:t>
            </w:r>
          </w:p>
        </w:tc>
        <w:tc>
          <w:tcPr>
            <w:tcW w:w="2128" w:type="dxa"/>
          </w:tcPr>
          <w:p>
            <w:pPr>
              <w:pStyle w:val="TableParagraph"/>
              <w:spacing w:line="230" w:lineRule="exact"/>
              <w:ind w:left="105"/>
              <w:rPr>
                <w:sz w:val="18"/>
              </w:rPr>
            </w:pPr>
            <w:r>
              <w:rPr>
                <w:sz w:val="18"/>
              </w:rPr>
              <w:t>隔离期限一般为 7d，到</w:t>
            </w:r>
          </w:p>
          <w:p>
            <w:pPr>
              <w:pStyle w:val="TableParagraph"/>
              <w:spacing w:line="215" w:lineRule="exact" w:before="2"/>
              <w:ind w:left="105"/>
              <w:rPr>
                <w:sz w:val="18"/>
              </w:rPr>
            </w:pPr>
            <w:r>
              <w:rPr>
                <w:sz w:val="18"/>
              </w:rPr>
              <w:t>症状消失为止</w:t>
            </w:r>
          </w:p>
        </w:tc>
        <w:tc>
          <w:tcPr>
            <w:tcW w:w="716" w:type="dxa"/>
          </w:tcPr>
          <w:p>
            <w:pPr>
              <w:pStyle w:val="TableParagraph"/>
              <w:spacing w:line="230" w:lineRule="exact"/>
              <w:ind w:left="104"/>
              <w:rPr>
                <w:sz w:val="18"/>
              </w:rPr>
            </w:pPr>
            <w:r>
              <w:rPr>
                <w:sz w:val="18"/>
              </w:rPr>
              <w:t>丙类</w:t>
            </w:r>
          </w:p>
        </w:tc>
      </w:tr>
    </w:tbl>
    <w:p>
      <w:pPr>
        <w:spacing w:after="0" w:line="230" w:lineRule="exact"/>
        <w:rPr>
          <w:sz w:val="18"/>
        </w:rPr>
        <w:sectPr>
          <w:pgSz w:w="11910" w:h="16840"/>
          <w:pgMar w:top="1420" w:bottom="280" w:left="1620" w:right="1580"/>
        </w:sectPr>
      </w:pPr>
    </w:p>
    <w:p>
      <w:pPr>
        <w:pStyle w:val="BodyText"/>
        <w:rPr>
          <w:b/>
          <w:sz w:val="20"/>
        </w:rPr>
      </w:pPr>
    </w:p>
    <w:p>
      <w:pPr>
        <w:pStyle w:val="BodyText"/>
        <w:rPr>
          <w:b/>
          <w:sz w:val="20"/>
        </w:rPr>
      </w:pPr>
    </w:p>
    <w:p>
      <w:pPr>
        <w:pStyle w:val="BodyText"/>
        <w:spacing w:before="9"/>
        <w:rPr>
          <w:b/>
          <w:sz w:val="15"/>
        </w:rPr>
      </w:pPr>
    </w:p>
    <w:p>
      <w:pPr>
        <w:spacing w:before="107"/>
        <w:ind w:left="120" w:right="0" w:firstLine="0"/>
        <w:jc w:val="left"/>
        <w:rPr>
          <w:rFonts w:ascii="创艺简中圆" w:eastAsia="创艺简中圆" w:hint="eastAsia"/>
          <w:sz w:val="28"/>
        </w:rPr>
      </w:pPr>
      <w:r>
        <w:rPr>
          <w:rFonts w:ascii="创艺简中圆" w:eastAsia="创艺简中圆" w:hint="eastAsia"/>
          <w:sz w:val="28"/>
        </w:rPr>
        <w:t>附件 3</w:t>
      </w:r>
    </w:p>
    <w:p>
      <w:pPr>
        <w:pStyle w:val="BodyText"/>
        <w:spacing w:before="6"/>
        <w:rPr>
          <w:rFonts w:ascii="创艺简中圆"/>
          <w:sz w:val="16"/>
        </w:rPr>
      </w:pPr>
    </w:p>
    <w:p>
      <w:pPr>
        <w:spacing w:before="67" w:after="43"/>
        <w:ind w:left="2501" w:right="2502" w:firstLine="0"/>
        <w:jc w:val="center"/>
        <w:rPr>
          <w:b/>
          <w:sz w:val="24"/>
        </w:rPr>
      </w:pPr>
      <w:r>
        <w:rPr>
          <w:b/>
          <w:sz w:val="24"/>
        </w:rPr>
        <w:t>学校和托幼机构环境和物品预防性消毒方法（出现散发病例或发布了疫情预警时使用）</w:t>
      </w: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324"/>
        <w:gridCol w:w="3155"/>
        <w:gridCol w:w="3575"/>
        <w:gridCol w:w="4905"/>
      </w:tblGrid>
      <w:tr>
        <w:trPr>
          <w:trHeight w:val="479" w:hRule="atLeast"/>
        </w:trPr>
        <w:tc>
          <w:tcPr>
            <w:tcW w:w="2324" w:type="dxa"/>
          </w:tcPr>
          <w:p>
            <w:pPr>
              <w:pStyle w:val="TableParagraph"/>
              <w:spacing w:before="124"/>
              <w:ind w:left="778" w:right="762"/>
              <w:jc w:val="center"/>
              <w:rPr>
                <w:b/>
                <w:sz w:val="18"/>
              </w:rPr>
            </w:pPr>
            <w:r>
              <w:rPr>
                <w:b/>
                <w:sz w:val="18"/>
              </w:rPr>
              <w:t>消毒对象</w:t>
            </w:r>
          </w:p>
        </w:tc>
        <w:tc>
          <w:tcPr>
            <w:tcW w:w="3155" w:type="dxa"/>
          </w:tcPr>
          <w:p>
            <w:pPr>
              <w:pStyle w:val="TableParagraph"/>
              <w:spacing w:before="124"/>
              <w:ind w:right="91"/>
              <w:jc w:val="center"/>
              <w:rPr>
                <w:b/>
                <w:sz w:val="18"/>
              </w:rPr>
            </w:pPr>
            <w:r>
              <w:rPr>
                <w:b/>
                <w:sz w:val="18"/>
              </w:rPr>
              <w:t>物理消毒方法</w:t>
            </w:r>
          </w:p>
        </w:tc>
        <w:tc>
          <w:tcPr>
            <w:tcW w:w="3575" w:type="dxa"/>
          </w:tcPr>
          <w:p>
            <w:pPr>
              <w:pStyle w:val="TableParagraph"/>
              <w:spacing w:before="124"/>
              <w:ind w:left="1221" w:right="1209"/>
              <w:jc w:val="center"/>
              <w:rPr>
                <w:b/>
                <w:sz w:val="18"/>
              </w:rPr>
            </w:pPr>
            <w:r>
              <w:rPr>
                <w:b/>
                <w:sz w:val="18"/>
              </w:rPr>
              <w:t>化学消毒方法</w:t>
            </w:r>
          </w:p>
        </w:tc>
        <w:tc>
          <w:tcPr>
            <w:tcW w:w="4905" w:type="dxa"/>
          </w:tcPr>
          <w:p>
            <w:pPr>
              <w:pStyle w:val="TableParagraph"/>
              <w:spacing w:before="124"/>
              <w:ind w:left="2249" w:right="2233"/>
              <w:jc w:val="center"/>
              <w:rPr>
                <w:b/>
                <w:sz w:val="18"/>
              </w:rPr>
            </w:pPr>
            <w:r>
              <w:rPr>
                <w:b/>
                <w:sz w:val="18"/>
              </w:rPr>
              <w:t>备注</w:t>
            </w:r>
          </w:p>
        </w:tc>
      </w:tr>
      <w:tr>
        <w:trPr>
          <w:trHeight w:val="532" w:hRule="atLeast"/>
        </w:trPr>
        <w:tc>
          <w:tcPr>
            <w:tcW w:w="2324" w:type="dxa"/>
            <w:vMerge w:val="restart"/>
          </w:tcPr>
          <w:p>
            <w:pPr>
              <w:pStyle w:val="TableParagraph"/>
              <w:ind w:left="0"/>
              <w:rPr>
                <w:b/>
                <w:sz w:val="18"/>
              </w:rPr>
            </w:pPr>
          </w:p>
          <w:p>
            <w:pPr>
              <w:pStyle w:val="TableParagraph"/>
              <w:ind w:left="0"/>
              <w:rPr>
                <w:b/>
                <w:sz w:val="18"/>
              </w:rPr>
            </w:pPr>
          </w:p>
          <w:p>
            <w:pPr>
              <w:pStyle w:val="TableParagraph"/>
              <w:ind w:left="0"/>
              <w:rPr>
                <w:b/>
                <w:sz w:val="18"/>
              </w:rPr>
            </w:pPr>
          </w:p>
          <w:p>
            <w:pPr>
              <w:pStyle w:val="TableParagraph"/>
              <w:ind w:left="0"/>
              <w:rPr>
                <w:b/>
                <w:sz w:val="13"/>
              </w:rPr>
            </w:pPr>
          </w:p>
          <w:p>
            <w:pPr>
              <w:pStyle w:val="TableParagraph"/>
              <w:spacing w:before="1"/>
              <w:ind w:left="778" w:right="759"/>
              <w:jc w:val="center"/>
              <w:rPr>
                <w:sz w:val="18"/>
              </w:rPr>
            </w:pPr>
            <w:r>
              <w:rPr>
                <w:sz w:val="18"/>
              </w:rPr>
              <w:t>空气</w:t>
            </w:r>
          </w:p>
        </w:tc>
        <w:tc>
          <w:tcPr>
            <w:tcW w:w="3155" w:type="dxa"/>
          </w:tcPr>
          <w:p>
            <w:pPr>
              <w:pStyle w:val="TableParagraph"/>
              <w:spacing w:line="242" w:lineRule="auto" w:before="34"/>
              <w:ind w:right="91"/>
              <w:rPr>
                <w:sz w:val="18"/>
              </w:rPr>
            </w:pPr>
            <w:r>
              <w:rPr>
                <w:sz w:val="18"/>
              </w:rPr>
              <w:t>开窗通风每日至少 2 次；每次至少10～15 分钟。</w:t>
            </w:r>
          </w:p>
        </w:tc>
        <w:tc>
          <w:tcPr>
            <w:tcW w:w="3575" w:type="dxa"/>
          </w:tcPr>
          <w:p>
            <w:pPr>
              <w:pStyle w:val="TableParagraph"/>
              <w:ind w:left="0"/>
              <w:rPr>
                <w:rFonts w:ascii="Times New Roman"/>
                <w:sz w:val="18"/>
              </w:rPr>
            </w:pPr>
          </w:p>
        </w:tc>
        <w:tc>
          <w:tcPr>
            <w:tcW w:w="4905" w:type="dxa"/>
          </w:tcPr>
          <w:p>
            <w:pPr>
              <w:pStyle w:val="TableParagraph"/>
              <w:spacing w:line="242" w:lineRule="auto" w:before="34"/>
              <w:ind w:left="105" w:right="93"/>
              <w:rPr>
                <w:sz w:val="18"/>
              </w:rPr>
            </w:pPr>
            <w:r>
              <w:rPr>
                <w:sz w:val="18"/>
              </w:rPr>
              <w:t>在外界温度适宜、空气质量较好、保障安全性的条件下，应采取持续开窗通风的方式。</w:t>
            </w:r>
          </w:p>
        </w:tc>
      </w:tr>
      <w:tr>
        <w:trPr>
          <w:trHeight w:val="1400" w:hRule="atLeast"/>
        </w:trPr>
        <w:tc>
          <w:tcPr>
            <w:tcW w:w="2324" w:type="dxa"/>
            <w:vMerge/>
            <w:tcBorders>
              <w:top w:val="nil"/>
            </w:tcBorders>
          </w:tcPr>
          <w:p>
            <w:pPr>
              <w:rPr>
                <w:sz w:val="2"/>
                <w:szCs w:val="2"/>
              </w:rPr>
            </w:pPr>
          </w:p>
        </w:tc>
        <w:tc>
          <w:tcPr>
            <w:tcW w:w="3155" w:type="dxa"/>
          </w:tcPr>
          <w:p>
            <w:pPr>
              <w:pStyle w:val="TableParagraph"/>
              <w:ind w:left="0"/>
              <w:rPr>
                <w:b/>
                <w:sz w:val="18"/>
              </w:rPr>
            </w:pPr>
          </w:p>
          <w:p>
            <w:pPr>
              <w:pStyle w:val="TableParagraph"/>
              <w:spacing w:line="242" w:lineRule="auto" w:before="119"/>
              <w:ind w:right="88"/>
              <w:rPr>
                <w:sz w:val="18"/>
              </w:rPr>
            </w:pPr>
            <w:r>
              <w:rPr>
                <w:sz w:val="18"/>
              </w:rPr>
              <w:t>采用紫外线杀菌灯进行照射消毒每日1 次，每次持续照射时间 60 分钟。</w:t>
            </w:r>
          </w:p>
        </w:tc>
        <w:tc>
          <w:tcPr>
            <w:tcW w:w="3575" w:type="dxa"/>
          </w:tcPr>
          <w:p>
            <w:pPr>
              <w:pStyle w:val="TableParagraph"/>
              <w:ind w:left="0"/>
              <w:rPr>
                <w:rFonts w:ascii="Times New Roman"/>
                <w:sz w:val="18"/>
              </w:rPr>
            </w:pPr>
          </w:p>
        </w:tc>
        <w:tc>
          <w:tcPr>
            <w:tcW w:w="4905" w:type="dxa"/>
          </w:tcPr>
          <w:p>
            <w:pPr>
              <w:pStyle w:val="TableParagraph"/>
              <w:numPr>
                <w:ilvl w:val="0"/>
                <w:numId w:val="13"/>
              </w:numPr>
              <w:tabs>
                <w:tab w:pos="288" w:val="left" w:leader="none"/>
              </w:tabs>
              <w:spacing w:line="230" w:lineRule="exact" w:before="0" w:after="0"/>
              <w:ind w:left="287" w:right="0" w:hanging="183"/>
              <w:jc w:val="left"/>
              <w:rPr>
                <w:sz w:val="18"/>
              </w:rPr>
            </w:pPr>
            <w:r>
              <w:rPr>
                <w:spacing w:val="-1"/>
                <w:sz w:val="18"/>
              </w:rPr>
              <w:t>不具备开窗通风空气消毒条件时使用。</w:t>
            </w:r>
          </w:p>
          <w:p>
            <w:pPr>
              <w:pStyle w:val="TableParagraph"/>
              <w:numPr>
                <w:ilvl w:val="0"/>
                <w:numId w:val="13"/>
              </w:numPr>
              <w:tabs>
                <w:tab w:pos="288" w:val="left" w:leader="none"/>
              </w:tabs>
              <w:spacing w:line="242" w:lineRule="auto" w:before="4" w:after="0"/>
              <w:ind w:left="105" w:right="87" w:firstLine="0"/>
              <w:jc w:val="left"/>
              <w:rPr>
                <w:sz w:val="18"/>
              </w:rPr>
            </w:pPr>
            <w:r>
              <w:rPr>
                <w:spacing w:val="-3"/>
                <w:sz w:val="18"/>
              </w:rPr>
              <w:t>可使用悬挂或移动式紫外线杀菌灯。按照每立方米 </w:t>
            </w:r>
            <w:r>
              <w:rPr>
                <w:sz w:val="18"/>
              </w:rPr>
              <w:t>1.5</w:t>
            </w:r>
            <w:r>
              <w:rPr>
                <w:spacing w:val="-28"/>
                <w:sz w:val="18"/>
              </w:rPr>
              <w:t> 瓦</w:t>
            </w:r>
            <w:r>
              <w:rPr>
                <w:sz w:val="18"/>
              </w:rPr>
              <w:t>计算紫外线杀菌灯管需要量。</w:t>
            </w:r>
          </w:p>
          <w:p>
            <w:pPr>
              <w:pStyle w:val="TableParagraph"/>
              <w:numPr>
                <w:ilvl w:val="0"/>
                <w:numId w:val="13"/>
              </w:numPr>
              <w:tabs>
                <w:tab w:pos="288" w:val="left" w:leader="none"/>
              </w:tabs>
              <w:spacing w:line="230" w:lineRule="exact" w:before="0" w:after="0"/>
              <w:ind w:left="287" w:right="0" w:hanging="183"/>
              <w:jc w:val="left"/>
              <w:rPr>
                <w:sz w:val="18"/>
              </w:rPr>
            </w:pPr>
            <w:r>
              <w:rPr>
                <w:spacing w:val="-1"/>
                <w:sz w:val="18"/>
              </w:rPr>
              <w:t>禁止有人环境下开启紫外线杀菌灯。</w:t>
            </w:r>
          </w:p>
          <w:p>
            <w:pPr>
              <w:pStyle w:val="TableParagraph"/>
              <w:numPr>
                <w:ilvl w:val="0"/>
                <w:numId w:val="13"/>
              </w:numPr>
              <w:tabs>
                <w:tab w:pos="288" w:val="left" w:leader="none"/>
              </w:tabs>
              <w:spacing w:line="240" w:lineRule="auto" w:before="2" w:after="0"/>
              <w:ind w:left="287" w:right="0" w:hanging="183"/>
              <w:jc w:val="left"/>
              <w:rPr>
                <w:sz w:val="18"/>
              </w:rPr>
            </w:pPr>
            <w:r>
              <w:rPr>
                <w:spacing w:val="-1"/>
                <w:sz w:val="18"/>
              </w:rPr>
              <w:t>宜使用无臭氧式紫外线杀菌灯。</w:t>
            </w:r>
          </w:p>
          <w:p>
            <w:pPr>
              <w:pStyle w:val="TableParagraph"/>
              <w:numPr>
                <w:ilvl w:val="0"/>
                <w:numId w:val="13"/>
              </w:numPr>
              <w:tabs>
                <w:tab w:pos="288" w:val="left" w:leader="none"/>
              </w:tabs>
              <w:spacing w:line="212" w:lineRule="exact" w:before="5" w:after="0"/>
              <w:ind w:left="287" w:right="0" w:hanging="183"/>
              <w:jc w:val="left"/>
              <w:rPr>
                <w:sz w:val="18"/>
              </w:rPr>
            </w:pPr>
            <w:r>
              <w:rPr>
                <w:spacing w:val="-1"/>
                <w:sz w:val="18"/>
              </w:rPr>
              <w:t>有人环境可使用循环风紫外线消毒机。</w:t>
            </w:r>
          </w:p>
        </w:tc>
      </w:tr>
      <w:tr>
        <w:trPr>
          <w:trHeight w:val="904" w:hRule="atLeast"/>
        </w:trPr>
        <w:tc>
          <w:tcPr>
            <w:tcW w:w="2324" w:type="dxa"/>
            <w:vMerge w:val="restart"/>
          </w:tcPr>
          <w:p>
            <w:pPr>
              <w:pStyle w:val="TableParagraph"/>
              <w:ind w:left="0"/>
              <w:rPr>
                <w:b/>
                <w:sz w:val="18"/>
              </w:rPr>
            </w:pPr>
          </w:p>
          <w:p>
            <w:pPr>
              <w:pStyle w:val="TableParagraph"/>
              <w:ind w:left="0"/>
              <w:rPr>
                <w:b/>
                <w:sz w:val="18"/>
              </w:rPr>
            </w:pPr>
          </w:p>
          <w:p>
            <w:pPr>
              <w:pStyle w:val="TableParagraph"/>
              <w:spacing w:before="12"/>
              <w:ind w:left="0"/>
              <w:rPr>
                <w:b/>
                <w:sz w:val="20"/>
              </w:rPr>
            </w:pPr>
          </w:p>
          <w:p>
            <w:pPr>
              <w:pStyle w:val="TableParagraph"/>
              <w:ind w:left="169"/>
              <w:rPr>
                <w:sz w:val="18"/>
              </w:rPr>
            </w:pPr>
            <w:r>
              <w:rPr>
                <w:sz w:val="18"/>
              </w:rPr>
              <w:t>餐具、炊具、水杯、饮具</w:t>
            </w:r>
          </w:p>
        </w:tc>
        <w:tc>
          <w:tcPr>
            <w:tcW w:w="3155" w:type="dxa"/>
          </w:tcPr>
          <w:p>
            <w:pPr>
              <w:pStyle w:val="TableParagraph"/>
              <w:spacing w:before="2"/>
              <w:ind w:left="0"/>
              <w:rPr>
                <w:b/>
                <w:sz w:val="26"/>
              </w:rPr>
            </w:pPr>
          </w:p>
          <w:p>
            <w:pPr>
              <w:pStyle w:val="TableParagraph"/>
              <w:ind w:right="-15"/>
              <w:jc w:val="center"/>
              <w:rPr>
                <w:sz w:val="18"/>
              </w:rPr>
            </w:pPr>
            <w:r>
              <w:rPr>
                <w:spacing w:val="-11"/>
                <w:sz w:val="18"/>
              </w:rPr>
              <w:t>煮沸消毒 </w:t>
            </w:r>
            <w:r>
              <w:rPr>
                <w:sz w:val="18"/>
              </w:rPr>
              <w:t>15</w:t>
            </w:r>
            <w:r>
              <w:rPr>
                <w:spacing w:val="-13"/>
                <w:sz w:val="18"/>
              </w:rPr>
              <w:t> 分钟或蒸汽消毒 </w:t>
            </w:r>
            <w:r>
              <w:rPr>
                <w:sz w:val="18"/>
              </w:rPr>
              <w:t>10</w:t>
            </w:r>
            <w:r>
              <w:rPr>
                <w:spacing w:val="-14"/>
                <w:sz w:val="18"/>
              </w:rPr>
              <w:t> 分钟。</w:t>
            </w:r>
          </w:p>
        </w:tc>
        <w:tc>
          <w:tcPr>
            <w:tcW w:w="3575" w:type="dxa"/>
          </w:tcPr>
          <w:p>
            <w:pPr>
              <w:pStyle w:val="TableParagraph"/>
              <w:ind w:left="0"/>
              <w:rPr>
                <w:rFonts w:ascii="Times New Roman"/>
                <w:sz w:val="18"/>
              </w:rPr>
            </w:pPr>
          </w:p>
        </w:tc>
        <w:tc>
          <w:tcPr>
            <w:tcW w:w="4905" w:type="dxa"/>
          </w:tcPr>
          <w:p>
            <w:pPr>
              <w:pStyle w:val="TableParagraph"/>
              <w:numPr>
                <w:ilvl w:val="0"/>
                <w:numId w:val="14"/>
              </w:numPr>
              <w:tabs>
                <w:tab w:pos="288" w:val="left" w:leader="none"/>
              </w:tabs>
              <w:spacing w:line="240" w:lineRule="auto" w:before="103" w:after="0"/>
              <w:ind w:left="287" w:right="0" w:hanging="183"/>
              <w:jc w:val="left"/>
              <w:rPr>
                <w:sz w:val="18"/>
              </w:rPr>
            </w:pPr>
            <w:r>
              <w:rPr>
                <w:spacing w:val="-1"/>
                <w:sz w:val="18"/>
              </w:rPr>
              <w:t>餐具必须先去残渣、清洗后再进行消毒。</w:t>
            </w:r>
          </w:p>
          <w:p>
            <w:pPr>
              <w:pStyle w:val="TableParagraph"/>
              <w:numPr>
                <w:ilvl w:val="0"/>
                <w:numId w:val="14"/>
              </w:numPr>
              <w:tabs>
                <w:tab w:pos="288" w:val="left" w:leader="none"/>
              </w:tabs>
              <w:spacing w:line="242" w:lineRule="auto" w:before="2" w:after="0"/>
              <w:ind w:left="105" w:right="93" w:firstLine="0"/>
              <w:jc w:val="left"/>
              <w:rPr>
                <w:sz w:val="18"/>
              </w:rPr>
            </w:pPr>
            <w:r>
              <w:rPr>
                <w:spacing w:val="-1"/>
                <w:sz w:val="18"/>
              </w:rPr>
              <w:t>煮沸消毒时，被煮物品应全部浸没在水中；蒸汽消毒时， </w:t>
            </w:r>
            <w:r>
              <w:rPr>
                <w:sz w:val="18"/>
              </w:rPr>
              <w:t>被蒸物品应疏松放置，不得叠放，水沸后开始计算时间。</w:t>
            </w:r>
          </w:p>
        </w:tc>
      </w:tr>
      <w:tr>
        <w:trPr>
          <w:trHeight w:val="767" w:hRule="atLeast"/>
        </w:trPr>
        <w:tc>
          <w:tcPr>
            <w:tcW w:w="2324" w:type="dxa"/>
            <w:vMerge/>
            <w:tcBorders>
              <w:top w:val="nil"/>
            </w:tcBorders>
          </w:tcPr>
          <w:p>
            <w:pPr>
              <w:rPr>
                <w:sz w:val="2"/>
                <w:szCs w:val="2"/>
              </w:rPr>
            </w:pPr>
          </w:p>
        </w:tc>
        <w:tc>
          <w:tcPr>
            <w:tcW w:w="3155" w:type="dxa"/>
          </w:tcPr>
          <w:p>
            <w:pPr>
              <w:pStyle w:val="TableParagraph"/>
              <w:spacing w:line="242" w:lineRule="auto" w:before="150"/>
              <w:ind w:right="685"/>
              <w:rPr>
                <w:sz w:val="18"/>
              </w:rPr>
            </w:pPr>
            <w:r>
              <w:rPr>
                <w:sz w:val="18"/>
              </w:rPr>
              <w:t>餐具消毒柜、消毒碗柜消毒。按产品说明使用。</w:t>
            </w:r>
          </w:p>
        </w:tc>
        <w:tc>
          <w:tcPr>
            <w:tcW w:w="3575" w:type="dxa"/>
          </w:tcPr>
          <w:p>
            <w:pPr>
              <w:pStyle w:val="TableParagraph"/>
              <w:ind w:left="0"/>
              <w:rPr>
                <w:rFonts w:ascii="Times New Roman"/>
                <w:sz w:val="18"/>
              </w:rPr>
            </w:pPr>
          </w:p>
        </w:tc>
        <w:tc>
          <w:tcPr>
            <w:tcW w:w="4905" w:type="dxa"/>
          </w:tcPr>
          <w:p>
            <w:pPr>
              <w:pStyle w:val="TableParagraph"/>
              <w:numPr>
                <w:ilvl w:val="0"/>
                <w:numId w:val="15"/>
              </w:numPr>
              <w:tabs>
                <w:tab w:pos="288" w:val="left" w:leader="none"/>
              </w:tabs>
              <w:spacing w:line="240" w:lineRule="auto" w:before="150" w:after="0"/>
              <w:ind w:left="287" w:right="0" w:hanging="183"/>
              <w:jc w:val="left"/>
              <w:rPr>
                <w:sz w:val="18"/>
              </w:rPr>
            </w:pPr>
            <w:r>
              <w:rPr>
                <w:spacing w:val="-1"/>
                <w:sz w:val="18"/>
              </w:rPr>
              <w:t>使用符合国家标准规定的产品。</w:t>
            </w:r>
          </w:p>
          <w:p>
            <w:pPr>
              <w:pStyle w:val="TableParagraph"/>
              <w:numPr>
                <w:ilvl w:val="0"/>
                <w:numId w:val="15"/>
              </w:numPr>
              <w:tabs>
                <w:tab w:pos="288" w:val="left" w:leader="none"/>
              </w:tabs>
              <w:spacing w:line="240" w:lineRule="auto" w:before="3" w:after="0"/>
              <w:ind w:left="287" w:right="0" w:hanging="183"/>
              <w:jc w:val="left"/>
              <w:rPr>
                <w:sz w:val="18"/>
              </w:rPr>
            </w:pPr>
            <w:r>
              <w:rPr>
                <w:spacing w:val="-1"/>
                <w:sz w:val="18"/>
              </w:rPr>
              <w:t>保洁柜无消毒作用。不得用保洁柜代替消毒柜进行消毒。</w:t>
            </w:r>
          </w:p>
        </w:tc>
      </w:tr>
      <w:tr>
        <w:trPr>
          <w:trHeight w:val="467" w:hRule="atLeast"/>
        </w:trPr>
        <w:tc>
          <w:tcPr>
            <w:tcW w:w="2324" w:type="dxa"/>
            <w:vMerge w:val="restart"/>
          </w:tcPr>
          <w:p>
            <w:pPr>
              <w:pStyle w:val="TableParagraph"/>
              <w:ind w:left="0"/>
              <w:rPr>
                <w:b/>
                <w:sz w:val="18"/>
              </w:rPr>
            </w:pPr>
          </w:p>
          <w:p>
            <w:pPr>
              <w:pStyle w:val="TableParagraph"/>
              <w:ind w:left="0"/>
              <w:rPr>
                <w:b/>
                <w:sz w:val="18"/>
              </w:rPr>
            </w:pPr>
          </w:p>
          <w:p>
            <w:pPr>
              <w:pStyle w:val="TableParagraph"/>
              <w:ind w:left="0"/>
              <w:rPr>
                <w:b/>
                <w:sz w:val="18"/>
              </w:rPr>
            </w:pPr>
          </w:p>
          <w:p>
            <w:pPr>
              <w:pStyle w:val="TableParagraph"/>
              <w:spacing w:before="1"/>
              <w:ind w:left="0"/>
              <w:rPr>
                <w:b/>
                <w:sz w:val="24"/>
              </w:rPr>
            </w:pPr>
          </w:p>
          <w:p>
            <w:pPr>
              <w:pStyle w:val="TableParagraph"/>
              <w:ind w:left="710"/>
              <w:rPr>
                <w:sz w:val="18"/>
              </w:rPr>
            </w:pPr>
            <w:r>
              <w:rPr>
                <w:sz w:val="18"/>
              </w:rPr>
              <w:t>毛巾类织物</w:t>
            </w:r>
          </w:p>
        </w:tc>
        <w:tc>
          <w:tcPr>
            <w:tcW w:w="3155" w:type="dxa"/>
          </w:tcPr>
          <w:p>
            <w:pPr>
              <w:pStyle w:val="TableParagraph"/>
              <w:spacing w:line="230" w:lineRule="exact"/>
              <w:rPr>
                <w:sz w:val="18"/>
              </w:rPr>
            </w:pPr>
            <w:r>
              <w:rPr>
                <w:sz w:val="18"/>
              </w:rPr>
              <w:t>用洗涤剂清洗干净后，置阳光直接照</w:t>
            </w:r>
          </w:p>
          <w:p>
            <w:pPr>
              <w:pStyle w:val="TableParagraph"/>
              <w:spacing w:line="215" w:lineRule="exact" w:before="2"/>
              <w:rPr>
                <w:sz w:val="18"/>
              </w:rPr>
            </w:pPr>
            <w:r>
              <w:rPr>
                <w:sz w:val="18"/>
              </w:rPr>
              <w:t>射下曝晒干燥。</w:t>
            </w:r>
          </w:p>
        </w:tc>
        <w:tc>
          <w:tcPr>
            <w:tcW w:w="3575" w:type="dxa"/>
          </w:tcPr>
          <w:p>
            <w:pPr>
              <w:pStyle w:val="TableParagraph"/>
              <w:ind w:left="0"/>
              <w:rPr>
                <w:rFonts w:ascii="Times New Roman"/>
                <w:sz w:val="18"/>
              </w:rPr>
            </w:pPr>
          </w:p>
        </w:tc>
        <w:tc>
          <w:tcPr>
            <w:tcW w:w="4905" w:type="dxa"/>
          </w:tcPr>
          <w:p>
            <w:pPr>
              <w:pStyle w:val="TableParagraph"/>
              <w:spacing w:before="117"/>
              <w:ind w:left="105"/>
              <w:rPr>
                <w:sz w:val="18"/>
              </w:rPr>
            </w:pPr>
            <w:r>
              <w:rPr>
                <w:sz w:val="18"/>
              </w:rPr>
              <w:t>曝晒时不得相互叠放。曝晒时间不低于 6 小时。</w:t>
            </w:r>
          </w:p>
        </w:tc>
      </w:tr>
      <w:tr>
        <w:trPr>
          <w:trHeight w:val="827" w:hRule="atLeast"/>
        </w:trPr>
        <w:tc>
          <w:tcPr>
            <w:tcW w:w="2324" w:type="dxa"/>
            <w:vMerge/>
            <w:tcBorders>
              <w:top w:val="nil"/>
            </w:tcBorders>
          </w:tcPr>
          <w:p>
            <w:pPr>
              <w:rPr>
                <w:sz w:val="2"/>
                <w:szCs w:val="2"/>
              </w:rPr>
            </w:pPr>
          </w:p>
        </w:tc>
        <w:tc>
          <w:tcPr>
            <w:tcW w:w="3155" w:type="dxa"/>
          </w:tcPr>
          <w:p>
            <w:pPr>
              <w:pStyle w:val="TableParagraph"/>
              <w:spacing w:before="2"/>
              <w:ind w:left="0"/>
              <w:rPr>
                <w:b/>
                <w:sz w:val="23"/>
              </w:rPr>
            </w:pPr>
          </w:p>
          <w:p>
            <w:pPr>
              <w:pStyle w:val="TableParagraph"/>
              <w:ind w:right="-15"/>
              <w:jc w:val="center"/>
              <w:rPr>
                <w:sz w:val="18"/>
              </w:rPr>
            </w:pPr>
            <w:r>
              <w:rPr>
                <w:spacing w:val="-11"/>
                <w:sz w:val="18"/>
              </w:rPr>
              <w:t>煮沸消毒 </w:t>
            </w:r>
            <w:r>
              <w:rPr>
                <w:sz w:val="18"/>
              </w:rPr>
              <w:t>15</w:t>
            </w:r>
            <w:r>
              <w:rPr>
                <w:spacing w:val="-13"/>
                <w:sz w:val="18"/>
              </w:rPr>
              <w:t> 分钟或蒸汽消毒 </w:t>
            </w:r>
            <w:r>
              <w:rPr>
                <w:sz w:val="18"/>
              </w:rPr>
              <w:t>10</w:t>
            </w:r>
            <w:r>
              <w:rPr>
                <w:spacing w:val="-14"/>
                <w:sz w:val="18"/>
              </w:rPr>
              <w:t> 分钟。</w:t>
            </w:r>
          </w:p>
        </w:tc>
        <w:tc>
          <w:tcPr>
            <w:tcW w:w="3575" w:type="dxa"/>
          </w:tcPr>
          <w:p>
            <w:pPr>
              <w:pStyle w:val="TableParagraph"/>
              <w:ind w:left="0"/>
              <w:rPr>
                <w:rFonts w:ascii="Times New Roman"/>
                <w:sz w:val="18"/>
              </w:rPr>
            </w:pPr>
          </w:p>
        </w:tc>
        <w:tc>
          <w:tcPr>
            <w:tcW w:w="4905" w:type="dxa"/>
          </w:tcPr>
          <w:p>
            <w:pPr>
              <w:pStyle w:val="TableParagraph"/>
              <w:ind w:left="0"/>
              <w:rPr>
                <w:b/>
                <w:sz w:val="14"/>
              </w:rPr>
            </w:pPr>
          </w:p>
          <w:p>
            <w:pPr>
              <w:pStyle w:val="TableParagraph"/>
              <w:spacing w:line="244" w:lineRule="auto"/>
              <w:ind w:left="105" w:right="93"/>
              <w:rPr>
                <w:sz w:val="18"/>
              </w:rPr>
            </w:pPr>
            <w:r>
              <w:rPr>
                <w:sz w:val="18"/>
              </w:rPr>
              <w:t>煮沸消毒时，被煮物品应全部浸没在水中；蒸汽消毒时，被蒸物品应疏松放置。</w:t>
            </w:r>
          </w:p>
        </w:tc>
      </w:tr>
      <w:tr>
        <w:trPr>
          <w:trHeight w:val="899" w:hRule="atLeast"/>
        </w:trPr>
        <w:tc>
          <w:tcPr>
            <w:tcW w:w="2324" w:type="dxa"/>
            <w:vMerge/>
            <w:tcBorders>
              <w:top w:val="nil"/>
            </w:tcBorders>
          </w:tcPr>
          <w:p>
            <w:pPr>
              <w:rPr>
                <w:sz w:val="2"/>
                <w:szCs w:val="2"/>
              </w:rPr>
            </w:pPr>
          </w:p>
        </w:tc>
        <w:tc>
          <w:tcPr>
            <w:tcW w:w="3155" w:type="dxa"/>
          </w:tcPr>
          <w:p>
            <w:pPr>
              <w:pStyle w:val="TableParagraph"/>
              <w:ind w:left="0"/>
              <w:rPr>
                <w:rFonts w:ascii="Times New Roman"/>
                <w:sz w:val="18"/>
              </w:rPr>
            </w:pPr>
          </w:p>
        </w:tc>
        <w:tc>
          <w:tcPr>
            <w:tcW w:w="3575" w:type="dxa"/>
          </w:tcPr>
          <w:p>
            <w:pPr>
              <w:pStyle w:val="TableParagraph"/>
              <w:spacing w:before="100"/>
              <w:ind w:left="106"/>
              <w:rPr>
                <w:sz w:val="18"/>
              </w:rPr>
            </w:pPr>
            <w:r>
              <w:rPr>
                <w:sz w:val="18"/>
              </w:rPr>
              <w:t>使用次氯酸钠类消毒剂消毒。</w:t>
            </w:r>
          </w:p>
          <w:p>
            <w:pPr>
              <w:pStyle w:val="TableParagraph"/>
              <w:spacing w:line="244" w:lineRule="auto" w:before="2"/>
              <w:ind w:left="106" w:right="17"/>
              <w:rPr>
                <w:sz w:val="18"/>
              </w:rPr>
            </w:pPr>
            <w:r>
              <w:rPr>
                <w:sz w:val="18"/>
              </w:rPr>
              <w:t>使用浓度为有效氯 250～400 mg/L、浸泡消毒 30 分钟。</w:t>
            </w:r>
          </w:p>
        </w:tc>
        <w:tc>
          <w:tcPr>
            <w:tcW w:w="4905" w:type="dxa"/>
          </w:tcPr>
          <w:p>
            <w:pPr>
              <w:pStyle w:val="TableParagraph"/>
              <w:ind w:left="0"/>
              <w:rPr>
                <w:b/>
                <w:sz w:val="17"/>
              </w:rPr>
            </w:pPr>
          </w:p>
          <w:p>
            <w:pPr>
              <w:pStyle w:val="TableParagraph"/>
              <w:spacing w:line="242" w:lineRule="auto"/>
              <w:ind w:left="105" w:right="93"/>
              <w:rPr>
                <w:sz w:val="18"/>
              </w:rPr>
            </w:pPr>
            <w:r>
              <w:rPr>
                <w:sz w:val="18"/>
              </w:rPr>
              <w:t>消毒时将织物全部浸没在消毒液中，消毒后用生活饮用水将残留消毒剂冲净。</w:t>
            </w:r>
          </w:p>
        </w:tc>
      </w:tr>
      <w:tr>
        <w:trPr>
          <w:trHeight w:val="469" w:hRule="atLeast"/>
        </w:trPr>
        <w:tc>
          <w:tcPr>
            <w:tcW w:w="2324" w:type="dxa"/>
          </w:tcPr>
          <w:p>
            <w:pPr>
              <w:pStyle w:val="TableParagraph"/>
              <w:spacing w:before="117"/>
              <w:ind w:left="778" w:right="759"/>
              <w:jc w:val="center"/>
              <w:rPr>
                <w:sz w:val="18"/>
              </w:rPr>
            </w:pPr>
            <w:r>
              <w:rPr>
                <w:sz w:val="18"/>
              </w:rPr>
              <w:t>抹布</w:t>
            </w:r>
          </w:p>
        </w:tc>
        <w:tc>
          <w:tcPr>
            <w:tcW w:w="3155" w:type="dxa"/>
          </w:tcPr>
          <w:p>
            <w:pPr>
              <w:pStyle w:val="TableParagraph"/>
              <w:spacing w:before="117"/>
              <w:ind w:right="-15"/>
              <w:jc w:val="center"/>
              <w:rPr>
                <w:sz w:val="18"/>
              </w:rPr>
            </w:pPr>
            <w:r>
              <w:rPr>
                <w:spacing w:val="-11"/>
                <w:sz w:val="18"/>
              </w:rPr>
              <w:t>煮沸消毒 </w:t>
            </w:r>
            <w:r>
              <w:rPr>
                <w:sz w:val="18"/>
              </w:rPr>
              <w:t>15</w:t>
            </w:r>
            <w:r>
              <w:rPr>
                <w:spacing w:val="-13"/>
                <w:sz w:val="18"/>
              </w:rPr>
              <w:t> 分钟或蒸汽消毒 </w:t>
            </w:r>
            <w:r>
              <w:rPr>
                <w:sz w:val="18"/>
              </w:rPr>
              <w:t>10</w:t>
            </w:r>
            <w:r>
              <w:rPr>
                <w:spacing w:val="-14"/>
                <w:sz w:val="18"/>
              </w:rPr>
              <w:t> 分钟。</w:t>
            </w:r>
          </w:p>
        </w:tc>
        <w:tc>
          <w:tcPr>
            <w:tcW w:w="3575" w:type="dxa"/>
          </w:tcPr>
          <w:p>
            <w:pPr>
              <w:pStyle w:val="TableParagraph"/>
              <w:ind w:left="0"/>
              <w:rPr>
                <w:rFonts w:ascii="Times New Roman"/>
                <w:sz w:val="18"/>
              </w:rPr>
            </w:pPr>
          </w:p>
        </w:tc>
        <w:tc>
          <w:tcPr>
            <w:tcW w:w="4905" w:type="dxa"/>
          </w:tcPr>
          <w:p>
            <w:pPr>
              <w:pStyle w:val="TableParagraph"/>
              <w:spacing w:line="230" w:lineRule="atLeast" w:before="2"/>
              <w:ind w:left="105" w:right="93"/>
              <w:rPr>
                <w:sz w:val="18"/>
              </w:rPr>
            </w:pPr>
            <w:r>
              <w:rPr>
                <w:sz w:val="18"/>
              </w:rPr>
              <w:t>煮沸消毒时，抹布应全部浸没在水中；蒸汽消毒时，抹布应疏松放置，不得叠放，消毒时间从水沸腾开始计时。。</w:t>
            </w:r>
          </w:p>
        </w:tc>
      </w:tr>
    </w:tbl>
    <w:p>
      <w:pPr>
        <w:spacing w:after="0" w:line="230" w:lineRule="atLeast"/>
        <w:rPr>
          <w:sz w:val="18"/>
        </w:rPr>
        <w:sectPr>
          <w:pgSz w:w="16840" w:h="11910" w:orient="landscape"/>
          <w:pgMar w:top="1100" w:bottom="280" w:left="1320" w:right="1320"/>
        </w:sectPr>
      </w:pPr>
    </w:p>
    <w:p>
      <w:pPr>
        <w:pStyle w:val="BodyText"/>
        <w:rPr>
          <w:b/>
          <w:sz w:val="20"/>
        </w:rPr>
      </w:pPr>
    </w:p>
    <w:p>
      <w:pPr>
        <w:pStyle w:val="BodyText"/>
        <w:rPr>
          <w:b/>
          <w:sz w:val="20"/>
        </w:rPr>
      </w:pPr>
    </w:p>
    <w:p>
      <w:pPr>
        <w:pStyle w:val="BodyText"/>
        <w:spacing w:before="12"/>
        <w:rPr>
          <w:b/>
          <w:sz w:val="13"/>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324"/>
        <w:gridCol w:w="3155"/>
        <w:gridCol w:w="3575"/>
        <w:gridCol w:w="4905"/>
      </w:tblGrid>
      <w:tr>
        <w:trPr>
          <w:trHeight w:val="479" w:hRule="atLeast"/>
        </w:trPr>
        <w:tc>
          <w:tcPr>
            <w:tcW w:w="2324" w:type="dxa"/>
          </w:tcPr>
          <w:p>
            <w:pPr>
              <w:pStyle w:val="TableParagraph"/>
              <w:spacing w:before="122"/>
              <w:ind w:left="778" w:right="762"/>
              <w:jc w:val="center"/>
              <w:rPr>
                <w:b/>
                <w:sz w:val="18"/>
              </w:rPr>
            </w:pPr>
            <w:r>
              <w:rPr>
                <w:b/>
                <w:sz w:val="18"/>
              </w:rPr>
              <w:t>消毒对象</w:t>
            </w:r>
          </w:p>
        </w:tc>
        <w:tc>
          <w:tcPr>
            <w:tcW w:w="3155" w:type="dxa"/>
          </w:tcPr>
          <w:p>
            <w:pPr>
              <w:pStyle w:val="TableParagraph"/>
              <w:spacing w:before="122"/>
              <w:ind w:left="1033"/>
              <w:rPr>
                <w:b/>
                <w:sz w:val="18"/>
              </w:rPr>
            </w:pPr>
            <w:r>
              <w:rPr>
                <w:b/>
                <w:sz w:val="18"/>
              </w:rPr>
              <w:t>物理消毒方法</w:t>
            </w:r>
          </w:p>
        </w:tc>
        <w:tc>
          <w:tcPr>
            <w:tcW w:w="3575" w:type="dxa"/>
          </w:tcPr>
          <w:p>
            <w:pPr>
              <w:pStyle w:val="TableParagraph"/>
              <w:spacing w:before="122"/>
              <w:ind w:left="1221" w:right="1209"/>
              <w:jc w:val="center"/>
              <w:rPr>
                <w:b/>
                <w:sz w:val="18"/>
              </w:rPr>
            </w:pPr>
            <w:r>
              <w:rPr>
                <w:b/>
                <w:sz w:val="18"/>
              </w:rPr>
              <w:t>化学消毒方法</w:t>
            </w:r>
          </w:p>
        </w:tc>
        <w:tc>
          <w:tcPr>
            <w:tcW w:w="4905" w:type="dxa"/>
          </w:tcPr>
          <w:p>
            <w:pPr>
              <w:pStyle w:val="TableParagraph"/>
              <w:spacing w:before="122"/>
              <w:ind w:left="2249" w:right="2233"/>
              <w:jc w:val="center"/>
              <w:rPr>
                <w:b/>
                <w:sz w:val="18"/>
              </w:rPr>
            </w:pPr>
            <w:r>
              <w:rPr>
                <w:b/>
                <w:sz w:val="18"/>
              </w:rPr>
              <w:t>备注</w:t>
            </w:r>
          </w:p>
        </w:tc>
      </w:tr>
      <w:tr>
        <w:trPr>
          <w:trHeight w:val="699" w:hRule="atLeast"/>
        </w:trPr>
        <w:tc>
          <w:tcPr>
            <w:tcW w:w="2324" w:type="dxa"/>
          </w:tcPr>
          <w:p>
            <w:pPr>
              <w:pStyle w:val="TableParagraph"/>
              <w:ind w:left="0"/>
              <w:rPr>
                <w:rFonts w:ascii="Times New Roman"/>
                <w:sz w:val="18"/>
              </w:rPr>
            </w:pPr>
          </w:p>
        </w:tc>
        <w:tc>
          <w:tcPr>
            <w:tcW w:w="3155" w:type="dxa"/>
          </w:tcPr>
          <w:p>
            <w:pPr>
              <w:pStyle w:val="TableParagraph"/>
              <w:ind w:left="0"/>
              <w:rPr>
                <w:rFonts w:ascii="Times New Roman"/>
                <w:sz w:val="18"/>
              </w:rPr>
            </w:pPr>
          </w:p>
        </w:tc>
        <w:tc>
          <w:tcPr>
            <w:tcW w:w="3575" w:type="dxa"/>
          </w:tcPr>
          <w:p>
            <w:pPr>
              <w:pStyle w:val="TableParagraph"/>
              <w:spacing w:line="230" w:lineRule="exact"/>
              <w:ind w:left="106"/>
              <w:rPr>
                <w:sz w:val="18"/>
              </w:rPr>
            </w:pPr>
            <w:r>
              <w:rPr>
                <w:sz w:val="18"/>
              </w:rPr>
              <w:t>使用含有效氯消毒剂消毒。</w:t>
            </w:r>
          </w:p>
          <w:p>
            <w:pPr>
              <w:pStyle w:val="TableParagraph"/>
              <w:spacing w:before="2"/>
              <w:ind w:left="106"/>
              <w:rPr>
                <w:sz w:val="18"/>
              </w:rPr>
            </w:pPr>
            <w:r>
              <w:rPr>
                <w:sz w:val="18"/>
              </w:rPr>
              <w:t>使用浓度为有效氯 400 mg/L、浸泡消毒 30</w:t>
            </w:r>
          </w:p>
          <w:p>
            <w:pPr>
              <w:pStyle w:val="TableParagraph"/>
              <w:spacing w:line="212" w:lineRule="exact" w:before="4"/>
              <w:ind w:left="106"/>
              <w:rPr>
                <w:sz w:val="18"/>
              </w:rPr>
            </w:pPr>
            <w:r>
              <w:rPr>
                <w:sz w:val="18"/>
              </w:rPr>
              <w:t>分钟。</w:t>
            </w:r>
          </w:p>
        </w:tc>
        <w:tc>
          <w:tcPr>
            <w:tcW w:w="4905" w:type="dxa"/>
          </w:tcPr>
          <w:p>
            <w:pPr>
              <w:pStyle w:val="TableParagraph"/>
              <w:spacing w:line="242" w:lineRule="auto" w:before="117"/>
              <w:ind w:left="105" w:right="93"/>
              <w:rPr>
                <w:sz w:val="18"/>
              </w:rPr>
            </w:pPr>
            <w:r>
              <w:rPr>
                <w:sz w:val="18"/>
              </w:rPr>
              <w:t>消毒时将抹布全部浸没在消毒液中，消毒后用生活饮用水将残留消毒剂冲净后晒干或晾干存放。</w:t>
            </w:r>
          </w:p>
        </w:tc>
      </w:tr>
      <w:tr>
        <w:trPr>
          <w:trHeight w:val="700" w:hRule="atLeast"/>
        </w:trPr>
        <w:tc>
          <w:tcPr>
            <w:tcW w:w="2324" w:type="dxa"/>
          </w:tcPr>
          <w:p>
            <w:pPr>
              <w:pStyle w:val="TableParagraph"/>
              <w:spacing w:line="242" w:lineRule="auto" w:before="117"/>
              <w:ind w:left="441" w:right="107" w:hanging="318"/>
              <w:rPr>
                <w:sz w:val="18"/>
              </w:rPr>
            </w:pPr>
            <w:r>
              <w:rPr>
                <w:sz w:val="18"/>
              </w:rPr>
              <w:t>餐桌 、床围栏、门把手、水龙头等物体表面</w:t>
            </w:r>
          </w:p>
        </w:tc>
        <w:tc>
          <w:tcPr>
            <w:tcW w:w="3155" w:type="dxa"/>
          </w:tcPr>
          <w:p>
            <w:pPr>
              <w:pStyle w:val="TableParagraph"/>
              <w:ind w:left="0"/>
              <w:rPr>
                <w:rFonts w:ascii="Times New Roman"/>
                <w:sz w:val="18"/>
              </w:rPr>
            </w:pPr>
          </w:p>
        </w:tc>
        <w:tc>
          <w:tcPr>
            <w:tcW w:w="3575" w:type="dxa"/>
          </w:tcPr>
          <w:p>
            <w:pPr>
              <w:pStyle w:val="TableParagraph"/>
              <w:spacing w:line="230" w:lineRule="exact"/>
              <w:ind w:left="106"/>
              <w:rPr>
                <w:sz w:val="18"/>
              </w:rPr>
            </w:pPr>
            <w:r>
              <w:rPr>
                <w:sz w:val="18"/>
              </w:rPr>
              <w:t>使用含有效氯消毒剂消毒。</w:t>
            </w:r>
          </w:p>
          <w:p>
            <w:pPr>
              <w:pStyle w:val="TableParagraph"/>
              <w:spacing w:before="2"/>
              <w:ind w:left="106"/>
              <w:rPr>
                <w:sz w:val="18"/>
              </w:rPr>
            </w:pPr>
            <w:r>
              <w:rPr>
                <w:spacing w:val="-6"/>
                <w:sz w:val="18"/>
              </w:rPr>
              <w:t>使用浓度为有效氯 </w:t>
            </w:r>
            <w:r>
              <w:rPr>
                <w:sz w:val="18"/>
              </w:rPr>
              <w:t>100～250 mg/L</w:t>
            </w:r>
            <w:r>
              <w:rPr>
                <w:spacing w:val="-17"/>
                <w:sz w:val="18"/>
              </w:rPr>
              <w:t>、消毒 </w:t>
            </w:r>
            <w:r>
              <w:rPr>
                <w:sz w:val="18"/>
              </w:rPr>
              <w:t>30</w:t>
            </w:r>
          </w:p>
          <w:p>
            <w:pPr>
              <w:pStyle w:val="TableParagraph"/>
              <w:spacing w:line="212" w:lineRule="exact" w:before="5"/>
              <w:ind w:left="106"/>
              <w:rPr>
                <w:sz w:val="18"/>
              </w:rPr>
            </w:pPr>
            <w:r>
              <w:rPr>
                <w:sz w:val="18"/>
              </w:rPr>
              <w:t>分钟。</w:t>
            </w:r>
          </w:p>
        </w:tc>
        <w:tc>
          <w:tcPr>
            <w:tcW w:w="4905" w:type="dxa"/>
          </w:tcPr>
          <w:p>
            <w:pPr>
              <w:pStyle w:val="TableParagraph"/>
              <w:numPr>
                <w:ilvl w:val="0"/>
                <w:numId w:val="16"/>
              </w:numPr>
              <w:tabs>
                <w:tab w:pos="288" w:val="left" w:leader="none"/>
              </w:tabs>
              <w:spacing w:line="230" w:lineRule="exact" w:before="0" w:after="0"/>
              <w:ind w:left="287" w:right="0" w:hanging="183"/>
              <w:jc w:val="left"/>
              <w:rPr>
                <w:sz w:val="18"/>
              </w:rPr>
            </w:pPr>
            <w:r>
              <w:rPr>
                <w:spacing w:val="-1"/>
                <w:sz w:val="18"/>
              </w:rPr>
              <w:t>可采用表面擦拭、冲洗或喷洒等消毒方式。</w:t>
            </w:r>
          </w:p>
          <w:p>
            <w:pPr>
              <w:pStyle w:val="TableParagraph"/>
              <w:spacing w:before="7"/>
              <w:ind w:left="0"/>
              <w:rPr>
                <w:b/>
                <w:sz w:val="18"/>
              </w:rPr>
            </w:pPr>
          </w:p>
          <w:p>
            <w:pPr>
              <w:pStyle w:val="TableParagraph"/>
              <w:numPr>
                <w:ilvl w:val="0"/>
                <w:numId w:val="16"/>
              </w:numPr>
              <w:tabs>
                <w:tab w:pos="379" w:val="left" w:leader="none"/>
              </w:tabs>
              <w:spacing w:line="212" w:lineRule="exact" w:before="0" w:after="0"/>
              <w:ind w:left="379" w:right="0" w:hanging="274"/>
              <w:jc w:val="left"/>
              <w:rPr>
                <w:sz w:val="18"/>
              </w:rPr>
            </w:pPr>
            <w:r>
              <w:rPr>
                <w:spacing w:val="-1"/>
                <w:sz w:val="18"/>
              </w:rPr>
              <w:t>消毒结束用生活饮用水将残留消毒剂擦拭干净。</w:t>
            </w:r>
          </w:p>
        </w:tc>
      </w:tr>
      <w:tr>
        <w:trPr>
          <w:trHeight w:val="932" w:hRule="atLeast"/>
        </w:trPr>
        <w:tc>
          <w:tcPr>
            <w:tcW w:w="2324" w:type="dxa"/>
            <w:vMerge w:val="restart"/>
          </w:tcPr>
          <w:p>
            <w:pPr>
              <w:pStyle w:val="TableParagraph"/>
              <w:ind w:left="0"/>
              <w:rPr>
                <w:b/>
                <w:sz w:val="18"/>
              </w:rPr>
            </w:pPr>
          </w:p>
          <w:p>
            <w:pPr>
              <w:pStyle w:val="TableParagraph"/>
              <w:ind w:left="0"/>
              <w:rPr>
                <w:b/>
                <w:sz w:val="18"/>
              </w:rPr>
            </w:pPr>
          </w:p>
          <w:p>
            <w:pPr>
              <w:pStyle w:val="TableParagraph"/>
              <w:spacing w:before="5"/>
              <w:ind w:left="0"/>
              <w:rPr>
                <w:b/>
                <w:sz w:val="19"/>
              </w:rPr>
            </w:pPr>
          </w:p>
          <w:p>
            <w:pPr>
              <w:pStyle w:val="TableParagraph"/>
              <w:ind w:left="710"/>
              <w:rPr>
                <w:sz w:val="18"/>
              </w:rPr>
            </w:pPr>
            <w:r>
              <w:rPr>
                <w:sz w:val="18"/>
              </w:rPr>
              <w:t>玩具、图书</w:t>
            </w:r>
          </w:p>
        </w:tc>
        <w:tc>
          <w:tcPr>
            <w:tcW w:w="3155" w:type="dxa"/>
          </w:tcPr>
          <w:p>
            <w:pPr>
              <w:pStyle w:val="TableParagraph"/>
              <w:spacing w:line="242" w:lineRule="auto"/>
              <w:ind w:right="88"/>
              <w:jc w:val="both"/>
              <w:rPr>
                <w:sz w:val="18"/>
              </w:rPr>
            </w:pPr>
            <w:r>
              <w:rPr>
                <w:sz w:val="18"/>
              </w:rPr>
              <w:t>少量图书建议每两周至少通风晾晒一次。图书馆建议购置符合消毒产品卫生安全评价规定的图书消毒专用处置</w:t>
            </w:r>
          </w:p>
          <w:p>
            <w:pPr>
              <w:pStyle w:val="TableParagraph"/>
              <w:spacing w:line="212" w:lineRule="exact" w:before="1"/>
              <w:rPr>
                <w:sz w:val="18"/>
              </w:rPr>
            </w:pPr>
            <w:r>
              <w:rPr>
                <w:sz w:val="18"/>
              </w:rPr>
              <w:t>设备对大量图书进行消毒。</w:t>
            </w:r>
          </w:p>
        </w:tc>
        <w:tc>
          <w:tcPr>
            <w:tcW w:w="3575" w:type="dxa"/>
          </w:tcPr>
          <w:p>
            <w:pPr>
              <w:pStyle w:val="TableParagraph"/>
              <w:ind w:left="0"/>
              <w:rPr>
                <w:rFonts w:ascii="Times New Roman"/>
                <w:sz w:val="18"/>
              </w:rPr>
            </w:pPr>
          </w:p>
        </w:tc>
        <w:tc>
          <w:tcPr>
            <w:tcW w:w="4905" w:type="dxa"/>
          </w:tcPr>
          <w:p>
            <w:pPr>
              <w:pStyle w:val="TableParagraph"/>
              <w:spacing w:before="4"/>
              <w:ind w:left="0"/>
              <w:rPr>
                <w:b/>
                <w:sz w:val="18"/>
              </w:rPr>
            </w:pPr>
          </w:p>
          <w:p>
            <w:pPr>
              <w:pStyle w:val="TableParagraph"/>
              <w:ind w:left="105"/>
              <w:rPr>
                <w:sz w:val="18"/>
              </w:rPr>
            </w:pPr>
            <w:r>
              <w:rPr>
                <w:sz w:val="18"/>
              </w:rPr>
              <w:t>适用于不能湿式擦拭、清洗的物品。</w:t>
            </w:r>
          </w:p>
          <w:p>
            <w:pPr>
              <w:pStyle w:val="TableParagraph"/>
              <w:spacing w:before="2"/>
              <w:ind w:left="105"/>
              <w:rPr>
                <w:sz w:val="18"/>
              </w:rPr>
            </w:pPr>
            <w:r>
              <w:rPr>
                <w:sz w:val="18"/>
              </w:rPr>
              <w:t>曝晒时不得相互叠放。曝晒时间不低于 6 小时。</w:t>
            </w:r>
          </w:p>
        </w:tc>
      </w:tr>
      <w:tr>
        <w:trPr>
          <w:trHeight w:val="700" w:hRule="atLeast"/>
        </w:trPr>
        <w:tc>
          <w:tcPr>
            <w:tcW w:w="2324" w:type="dxa"/>
            <w:vMerge/>
            <w:tcBorders>
              <w:top w:val="nil"/>
            </w:tcBorders>
          </w:tcPr>
          <w:p>
            <w:pPr>
              <w:rPr>
                <w:sz w:val="2"/>
                <w:szCs w:val="2"/>
              </w:rPr>
            </w:pPr>
          </w:p>
        </w:tc>
        <w:tc>
          <w:tcPr>
            <w:tcW w:w="3155" w:type="dxa"/>
          </w:tcPr>
          <w:p>
            <w:pPr>
              <w:pStyle w:val="TableParagraph"/>
              <w:ind w:left="0"/>
              <w:rPr>
                <w:rFonts w:ascii="Times New Roman"/>
                <w:sz w:val="18"/>
              </w:rPr>
            </w:pPr>
          </w:p>
        </w:tc>
        <w:tc>
          <w:tcPr>
            <w:tcW w:w="3575" w:type="dxa"/>
          </w:tcPr>
          <w:p>
            <w:pPr>
              <w:pStyle w:val="TableParagraph"/>
              <w:spacing w:before="2"/>
              <w:ind w:left="106"/>
              <w:rPr>
                <w:sz w:val="18"/>
              </w:rPr>
            </w:pPr>
            <w:r>
              <w:rPr>
                <w:sz w:val="18"/>
              </w:rPr>
              <w:t>使用含有效率消毒剂消毒。（玩具）</w:t>
            </w:r>
          </w:p>
          <w:p>
            <w:pPr>
              <w:pStyle w:val="TableParagraph"/>
              <w:spacing w:before="2"/>
              <w:ind w:left="106"/>
              <w:rPr>
                <w:sz w:val="18"/>
              </w:rPr>
            </w:pPr>
            <w:r>
              <w:rPr>
                <w:sz w:val="18"/>
              </w:rPr>
              <w:t>使用浓度为有效氯 250 mg/L、表面擦拭、</w:t>
            </w:r>
          </w:p>
          <w:p>
            <w:pPr>
              <w:pStyle w:val="TableParagraph"/>
              <w:spacing w:line="212" w:lineRule="exact" w:before="2"/>
              <w:ind w:left="106"/>
              <w:rPr>
                <w:sz w:val="18"/>
              </w:rPr>
            </w:pPr>
            <w:r>
              <w:rPr>
                <w:sz w:val="18"/>
              </w:rPr>
              <w:t>浸泡消毒 30 分钟。</w:t>
            </w:r>
          </w:p>
        </w:tc>
        <w:tc>
          <w:tcPr>
            <w:tcW w:w="4905" w:type="dxa"/>
          </w:tcPr>
          <w:p>
            <w:pPr>
              <w:pStyle w:val="TableParagraph"/>
              <w:spacing w:line="244" w:lineRule="auto" w:before="117"/>
              <w:ind w:left="105" w:right="9"/>
              <w:rPr>
                <w:sz w:val="18"/>
              </w:rPr>
            </w:pPr>
            <w:r>
              <w:rPr>
                <w:sz w:val="18"/>
              </w:rPr>
              <w:t>根据污染情况，每周至少消毒 1 次。消毒结束用生活饮用水清洗残留消毒剂。</w:t>
            </w:r>
          </w:p>
        </w:tc>
      </w:tr>
      <w:tr>
        <w:trPr>
          <w:trHeight w:val="1381" w:hRule="atLeast"/>
        </w:trPr>
        <w:tc>
          <w:tcPr>
            <w:tcW w:w="2324" w:type="dxa"/>
          </w:tcPr>
          <w:p>
            <w:pPr>
              <w:pStyle w:val="TableParagraph"/>
              <w:ind w:left="0"/>
              <w:rPr>
                <w:b/>
                <w:sz w:val="18"/>
              </w:rPr>
            </w:pPr>
          </w:p>
          <w:p>
            <w:pPr>
              <w:pStyle w:val="TableParagraph"/>
              <w:spacing w:before="9"/>
              <w:ind w:left="0"/>
              <w:rPr>
                <w:b/>
                <w:sz w:val="17"/>
              </w:rPr>
            </w:pPr>
          </w:p>
          <w:p>
            <w:pPr>
              <w:pStyle w:val="TableParagraph"/>
              <w:spacing w:line="242" w:lineRule="auto" w:before="1"/>
              <w:ind w:left="261" w:right="22" w:hanging="154"/>
              <w:rPr>
                <w:sz w:val="18"/>
              </w:rPr>
            </w:pPr>
            <w:r>
              <w:rPr>
                <w:sz w:val="18"/>
              </w:rPr>
              <w:t>便盆、坐便器与皮肤接触部位、盛装吐泻物的容器</w:t>
            </w:r>
          </w:p>
        </w:tc>
        <w:tc>
          <w:tcPr>
            <w:tcW w:w="3155" w:type="dxa"/>
          </w:tcPr>
          <w:p>
            <w:pPr>
              <w:pStyle w:val="TableParagraph"/>
              <w:ind w:left="0"/>
              <w:rPr>
                <w:rFonts w:ascii="Times New Roman"/>
                <w:sz w:val="18"/>
              </w:rPr>
            </w:pPr>
          </w:p>
        </w:tc>
        <w:tc>
          <w:tcPr>
            <w:tcW w:w="3575" w:type="dxa"/>
          </w:tcPr>
          <w:p>
            <w:pPr>
              <w:pStyle w:val="TableParagraph"/>
              <w:ind w:left="0"/>
              <w:rPr>
                <w:b/>
                <w:sz w:val="18"/>
              </w:rPr>
            </w:pPr>
          </w:p>
          <w:p>
            <w:pPr>
              <w:pStyle w:val="TableParagraph"/>
              <w:spacing w:before="9"/>
              <w:ind w:left="0"/>
              <w:rPr>
                <w:b/>
                <w:sz w:val="17"/>
              </w:rPr>
            </w:pPr>
          </w:p>
          <w:p>
            <w:pPr>
              <w:pStyle w:val="TableParagraph"/>
              <w:spacing w:line="242" w:lineRule="auto" w:before="1"/>
              <w:ind w:left="106" w:right="81"/>
              <w:rPr>
                <w:sz w:val="18"/>
              </w:rPr>
            </w:pPr>
            <w:r>
              <w:rPr>
                <w:sz w:val="18"/>
              </w:rPr>
              <w:t>使用含氯消毒剂消毒。使用浓度为有效氯1000 mg/L、浸泡或擦拭消毒 30 分钟。</w:t>
            </w:r>
          </w:p>
        </w:tc>
        <w:tc>
          <w:tcPr>
            <w:tcW w:w="4905" w:type="dxa"/>
          </w:tcPr>
          <w:p>
            <w:pPr>
              <w:pStyle w:val="TableParagraph"/>
              <w:spacing w:before="7"/>
              <w:ind w:left="0"/>
              <w:rPr>
                <w:b/>
                <w:sz w:val="17"/>
              </w:rPr>
            </w:pPr>
          </w:p>
          <w:p>
            <w:pPr>
              <w:pStyle w:val="TableParagraph"/>
              <w:numPr>
                <w:ilvl w:val="0"/>
                <w:numId w:val="17"/>
              </w:numPr>
              <w:tabs>
                <w:tab w:pos="288" w:val="left" w:leader="none"/>
              </w:tabs>
              <w:spacing w:line="240" w:lineRule="auto" w:before="0" w:after="0"/>
              <w:ind w:left="287" w:right="0" w:hanging="183"/>
              <w:jc w:val="left"/>
              <w:rPr>
                <w:sz w:val="18"/>
              </w:rPr>
            </w:pPr>
            <w:r>
              <w:rPr>
                <w:sz w:val="18"/>
              </w:rPr>
              <w:t>应先清洗后消毒。</w:t>
            </w:r>
          </w:p>
          <w:p>
            <w:pPr>
              <w:pStyle w:val="TableParagraph"/>
              <w:numPr>
                <w:ilvl w:val="0"/>
                <w:numId w:val="17"/>
              </w:numPr>
              <w:tabs>
                <w:tab w:pos="288" w:val="left" w:leader="none"/>
              </w:tabs>
              <w:spacing w:line="240" w:lineRule="auto" w:before="3" w:after="0"/>
              <w:ind w:left="287" w:right="0" w:hanging="183"/>
              <w:jc w:val="left"/>
              <w:rPr>
                <w:sz w:val="18"/>
              </w:rPr>
            </w:pPr>
            <w:r>
              <w:rPr>
                <w:spacing w:val="-1"/>
                <w:sz w:val="18"/>
              </w:rPr>
              <w:t>浸泡消毒时将待消毒物品全部浸没在消毒液中。</w:t>
            </w:r>
          </w:p>
          <w:p>
            <w:pPr>
              <w:pStyle w:val="TableParagraph"/>
              <w:numPr>
                <w:ilvl w:val="0"/>
                <w:numId w:val="17"/>
              </w:numPr>
              <w:tabs>
                <w:tab w:pos="295" w:val="left" w:leader="none"/>
              </w:tabs>
              <w:spacing w:line="244" w:lineRule="auto" w:before="2" w:after="0"/>
              <w:ind w:left="105" w:right="86" w:firstLine="0"/>
              <w:jc w:val="left"/>
              <w:rPr>
                <w:sz w:val="18"/>
              </w:rPr>
            </w:pPr>
            <w:r>
              <w:rPr>
                <w:spacing w:val="6"/>
                <w:sz w:val="18"/>
              </w:rPr>
              <w:t>消毒后用生活饮用水将残留消毒剂冲净后控干或晾干存</w:t>
            </w:r>
            <w:r>
              <w:rPr>
                <w:sz w:val="18"/>
              </w:rPr>
              <w:t>放。</w:t>
            </w:r>
          </w:p>
        </w:tc>
      </w:tr>
      <w:tr>
        <w:trPr>
          <w:trHeight w:val="702" w:hRule="atLeast"/>
        </w:trPr>
        <w:tc>
          <w:tcPr>
            <w:tcW w:w="2324" w:type="dxa"/>
          </w:tcPr>
          <w:p>
            <w:pPr>
              <w:pStyle w:val="TableParagraph"/>
              <w:spacing w:before="4"/>
              <w:ind w:left="0"/>
              <w:rPr>
                <w:b/>
                <w:sz w:val="18"/>
              </w:rPr>
            </w:pPr>
          </w:p>
          <w:p>
            <w:pPr>
              <w:pStyle w:val="TableParagraph"/>
              <w:ind w:left="778" w:right="762"/>
              <w:jc w:val="center"/>
              <w:rPr>
                <w:sz w:val="18"/>
              </w:rPr>
            </w:pPr>
            <w:r>
              <w:rPr>
                <w:sz w:val="18"/>
              </w:rPr>
              <w:t>体温计</w:t>
            </w:r>
          </w:p>
        </w:tc>
        <w:tc>
          <w:tcPr>
            <w:tcW w:w="3155" w:type="dxa"/>
          </w:tcPr>
          <w:p>
            <w:pPr>
              <w:pStyle w:val="TableParagraph"/>
              <w:ind w:left="0"/>
              <w:rPr>
                <w:rFonts w:ascii="Times New Roman"/>
                <w:sz w:val="18"/>
              </w:rPr>
            </w:pPr>
          </w:p>
        </w:tc>
        <w:tc>
          <w:tcPr>
            <w:tcW w:w="3575" w:type="dxa"/>
          </w:tcPr>
          <w:p>
            <w:pPr>
              <w:pStyle w:val="TableParagraph"/>
              <w:spacing w:line="230" w:lineRule="atLeast" w:before="2"/>
              <w:ind w:left="106" w:right="86"/>
              <w:jc w:val="both"/>
              <w:rPr>
                <w:sz w:val="18"/>
              </w:rPr>
            </w:pPr>
            <w:r>
              <w:rPr>
                <w:spacing w:val="-15"/>
                <w:sz w:val="18"/>
              </w:rPr>
              <w:t>使用 </w:t>
            </w:r>
            <w:r>
              <w:rPr>
                <w:sz w:val="18"/>
              </w:rPr>
              <w:t>75%～80%</w:t>
            </w:r>
            <w:r>
              <w:rPr>
                <w:spacing w:val="-9"/>
                <w:sz w:val="18"/>
              </w:rPr>
              <w:t>乙醇溶液、浸泡消毒 </w:t>
            </w:r>
            <w:r>
              <w:rPr>
                <w:sz w:val="18"/>
              </w:rPr>
              <w:t>10</w:t>
            </w:r>
            <w:r>
              <w:rPr>
                <w:spacing w:val="-19"/>
                <w:sz w:val="18"/>
              </w:rPr>
              <w:t> 分钟</w:t>
            </w:r>
            <w:r>
              <w:rPr>
                <w:spacing w:val="-7"/>
                <w:sz w:val="18"/>
              </w:rPr>
              <w:t>或含氯消毒剂，浓度有效氯 </w:t>
            </w:r>
            <w:r>
              <w:rPr>
                <w:sz w:val="18"/>
              </w:rPr>
              <w:t>1000mg/L,</w:t>
            </w:r>
            <w:r>
              <w:rPr>
                <w:spacing w:val="-6"/>
                <w:sz w:val="18"/>
              </w:rPr>
              <w:t>浸泡</w:t>
            </w:r>
            <w:r>
              <w:rPr>
                <w:spacing w:val="-15"/>
                <w:sz w:val="18"/>
              </w:rPr>
              <w:t>消毒 </w:t>
            </w:r>
            <w:r>
              <w:rPr>
                <w:sz w:val="18"/>
              </w:rPr>
              <w:t>10</w:t>
            </w:r>
            <w:r>
              <w:rPr>
                <w:spacing w:val="-12"/>
                <w:sz w:val="18"/>
              </w:rPr>
              <w:t> 分钟。</w:t>
            </w:r>
          </w:p>
        </w:tc>
        <w:tc>
          <w:tcPr>
            <w:tcW w:w="4905" w:type="dxa"/>
          </w:tcPr>
          <w:p>
            <w:pPr>
              <w:pStyle w:val="TableParagraph"/>
              <w:spacing w:before="117"/>
              <w:ind w:left="105"/>
              <w:rPr>
                <w:sz w:val="18"/>
              </w:rPr>
            </w:pPr>
            <w:r>
              <w:rPr>
                <w:sz w:val="18"/>
              </w:rPr>
              <w:t>使用符合 GB 26373 乙醇消毒剂卫生标准的乙醇消毒剂。</w:t>
            </w:r>
          </w:p>
          <w:p>
            <w:pPr>
              <w:pStyle w:val="TableParagraph"/>
              <w:spacing w:before="2"/>
              <w:ind w:left="105"/>
              <w:rPr>
                <w:sz w:val="18"/>
              </w:rPr>
            </w:pPr>
            <w:r>
              <w:rPr>
                <w:spacing w:val="-9"/>
                <w:sz w:val="18"/>
              </w:rPr>
              <w:t>推荐使用耳温计与额温计，并按照使用说明更换一次性配件。</w:t>
            </w:r>
          </w:p>
        </w:tc>
      </w:tr>
    </w:tbl>
    <w:p>
      <w:pPr>
        <w:spacing w:before="56"/>
        <w:ind w:left="120" w:right="0" w:firstLine="0"/>
        <w:jc w:val="left"/>
        <w:rPr>
          <w:sz w:val="20"/>
        </w:rPr>
      </w:pPr>
      <w:r>
        <w:rPr>
          <w:sz w:val="20"/>
        </w:rPr>
        <w:t>注：1.表中有效氯消毒剂应经卫生安全评价符合相关标准。</w:t>
      </w:r>
    </w:p>
    <w:p>
      <w:pPr>
        <w:spacing w:after="0"/>
        <w:jc w:val="left"/>
        <w:rPr>
          <w:sz w:val="20"/>
        </w:rPr>
        <w:sectPr>
          <w:pgSz w:w="16840" w:h="11910" w:orient="landscape"/>
          <w:pgMar w:top="1100" w:bottom="280" w:left="1320" w:right="1320"/>
        </w:sectPr>
      </w:pPr>
    </w:p>
    <w:p>
      <w:pPr>
        <w:pStyle w:val="Heading2"/>
        <w:spacing w:before="91"/>
        <w:rPr>
          <w:rFonts w:ascii="创艺简中圆" w:eastAsia="创艺简中圆" w:hint="eastAsia"/>
        </w:rPr>
      </w:pPr>
      <w:r>
        <w:rPr>
          <w:rFonts w:ascii="创艺简中圆" w:eastAsia="创艺简中圆" w:hint="eastAsia"/>
        </w:rPr>
        <w:t>附件 4</w:t>
      </w:r>
    </w:p>
    <w:p>
      <w:pPr>
        <w:pStyle w:val="BodyText"/>
        <w:rPr>
          <w:rFonts w:ascii="创艺简中圆"/>
          <w:sz w:val="24"/>
        </w:rPr>
      </w:pPr>
      <w:r>
        <w:rPr/>
        <w:br w:type="column"/>
      </w:r>
      <w:r>
        <w:rPr>
          <w:rFonts w:ascii="创艺简中圆"/>
          <w:sz w:val="24"/>
        </w:rPr>
      </w:r>
    </w:p>
    <w:p>
      <w:pPr>
        <w:pStyle w:val="BodyText"/>
        <w:spacing w:before="6"/>
        <w:rPr>
          <w:rFonts w:ascii="创艺简中圆"/>
          <w:sz w:val="22"/>
        </w:rPr>
      </w:pPr>
    </w:p>
    <w:p>
      <w:pPr>
        <w:spacing w:before="0"/>
        <w:ind w:left="220" w:right="0" w:firstLine="0"/>
        <w:jc w:val="left"/>
        <w:rPr>
          <w:b/>
          <w:sz w:val="24"/>
        </w:rPr>
      </w:pPr>
      <w:r>
        <w:rPr>
          <w:b/>
          <w:sz w:val="24"/>
        </w:rPr>
        <w:t>学校及托幼机构常见传染病暴发疫情终末消毒方法</w:t>
      </w:r>
    </w:p>
    <w:p>
      <w:pPr>
        <w:spacing w:after="0"/>
        <w:jc w:val="left"/>
        <w:rPr>
          <w:sz w:val="24"/>
        </w:rPr>
        <w:sectPr>
          <w:pgSz w:w="11910" w:h="16840"/>
          <w:pgMar w:top="1460" w:bottom="280" w:left="1580" w:right="1580"/>
          <w:cols w:num="2" w:equalWidth="0">
            <w:col w:w="1048" w:space="454"/>
            <w:col w:w="7248"/>
          </w:cols>
        </w:sectPr>
      </w:pPr>
    </w:p>
    <w:p>
      <w:pPr>
        <w:pStyle w:val="BodyText"/>
        <w:spacing w:before="6"/>
        <w:rPr>
          <w:b/>
          <w:sz w:val="8"/>
        </w:rPr>
      </w:pPr>
    </w:p>
    <w:p>
      <w:pPr>
        <w:pStyle w:val="Heading3"/>
        <w:spacing w:line="417" w:lineRule="auto" w:before="72"/>
        <w:ind w:left="220" w:right="4095"/>
      </w:pPr>
      <w:r>
        <w:rPr/>
        <w:t>用于聚集性和暴发疫情的日常消毒以及终末消毒经消化道传播的传染病：</w:t>
      </w:r>
    </w:p>
    <w:p>
      <w:pPr>
        <w:pStyle w:val="BodyText"/>
        <w:spacing w:line="417" w:lineRule="auto"/>
        <w:ind w:left="220" w:right="213" w:firstLine="419"/>
      </w:pPr>
      <w:r>
        <w:rPr>
          <w:spacing w:val="-8"/>
        </w:rPr>
        <w:t>发生疫情的学校和托幼机构停课后应及时做好终末消毒，包括：校区内室内外地面、墙</w:t>
      </w:r>
      <w:r>
        <w:rPr>
          <w:spacing w:val="-20"/>
          <w:w w:val="100"/>
        </w:rPr>
        <w:t>壁</w:t>
      </w:r>
      <w:r>
        <w:rPr>
          <w:w w:val="100"/>
        </w:rPr>
        <w:t>（</w:t>
      </w:r>
      <w:r>
        <w:rPr>
          <w:spacing w:val="-3"/>
          <w:w w:val="100"/>
        </w:rPr>
        <w:t>墙壁可只消毒至</w:t>
      </w:r>
      <w:r>
        <w:rPr>
          <w:spacing w:val="-55"/>
        </w:rPr>
        <w:t> </w:t>
      </w:r>
      <w:r>
        <w:rPr>
          <w:w w:val="100"/>
        </w:rPr>
        <w:t>2m</w:t>
      </w:r>
      <w:r>
        <w:rPr>
          <w:spacing w:val="-55"/>
        </w:rPr>
        <w:t> </w:t>
      </w:r>
      <w:r>
        <w:rPr>
          <w:spacing w:val="-3"/>
          <w:w w:val="100"/>
        </w:rPr>
        <w:t>高</w:t>
      </w:r>
      <w:r>
        <w:rPr>
          <w:spacing w:val="-106"/>
          <w:w w:val="100"/>
        </w:rPr>
        <w:t>）</w:t>
      </w:r>
      <w:r>
        <w:rPr>
          <w:spacing w:val="-10"/>
          <w:w w:val="100"/>
        </w:rPr>
        <w:t>，门把手、楼梯及其扶手，场所内的各种物品表面，特别要注意</w:t>
      </w:r>
    </w:p>
    <w:p>
      <w:pPr>
        <w:pStyle w:val="BodyText"/>
        <w:spacing w:line="348" w:lineRule="auto"/>
        <w:ind w:left="220" w:right="535"/>
      </w:pPr>
      <w:r>
        <w:rPr/>
        <w:t>患儿的衣服、被褥，学习用品，玩具，奶瓶和食饮具，厕所、卫生间，污水、垃圾等。</w:t>
      </w:r>
      <w:r>
        <w:rPr>
          <w:u w:val="single"/>
        </w:rPr>
        <w:t>室内空气</w:t>
      </w:r>
    </w:p>
    <w:p>
      <w:pPr>
        <w:pStyle w:val="BodyText"/>
        <w:spacing w:line="417" w:lineRule="auto"/>
        <w:ind w:left="220" w:right="213" w:firstLine="419"/>
      </w:pPr>
      <w:r>
        <w:rPr>
          <w:spacing w:val="-10"/>
        </w:rPr>
        <w:t>应开窗通风，保持室内空气流通。无法自然通风的应采用机械通风措施。也可采用循环</w:t>
      </w:r>
      <w:r>
        <w:rPr>
          <w:spacing w:val="-3"/>
        </w:rPr>
        <w:t>风式空气消毒机进行空气消毒，无人条件下还可用紫外线对空气消毒。</w:t>
      </w:r>
    </w:p>
    <w:p>
      <w:pPr>
        <w:pStyle w:val="BodyText"/>
        <w:spacing w:line="269" w:lineRule="exact"/>
        <w:ind w:left="220"/>
      </w:pPr>
      <w:r>
        <w:rPr>
          <w:u w:val="single"/>
        </w:rPr>
        <w:t>室内环境表面的消毒</w:t>
      </w:r>
    </w:p>
    <w:p>
      <w:pPr>
        <w:pStyle w:val="BodyText"/>
        <w:spacing w:before="12"/>
        <w:rPr>
          <w:sz w:val="9"/>
        </w:rPr>
      </w:pPr>
    </w:p>
    <w:p>
      <w:pPr>
        <w:pStyle w:val="BodyText"/>
        <w:spacing w:line="412" w:lineRule="auto" w:before="71"/>
        <w:ind w:left="220" w:right="225" w:firstLine="419"/>
        <w:jc w:val="both"/>
      </w:pPr>
      <w:r>
        <w:rPr>
          <w:spacing w:val="-11"/>
        </w:rPr>
        <w:t>用有效氯 </w:t>
      </w:r>
      <w:r>
        <w:rPr/>
        <w:t>1000mg/L~2000mg/L</w:t>
      </w:r>
      <w:r>
        <w:rPr>
          <w:spacing w:val="-18"/>
        </w:rPr>
        <w:t> 有效氯或 </w:t>
      </w:r>
      <w:r>
        <w:rPr/>
        <w:t>2000mg/L</w:t>
      </w:r>
      <w:r>
        <w:rPr>
          <w:spacing w:val="-8"/>
        </w:rPr>
        <w:t> 过氧乙酸消毒溶液作喷雾消毒，用量</w:t>
      </w:r>
      <w:r>
        <w:rPr>
          <w:spacing w:val="-30"/>
        </w:rPr>
        <w:t>为 </w:t>
      </w:r>
      <w:r>
        <w:rPr/>
        <w:t>200mg/m</w:t>
      </w:r>
      <w:r>
        <w:rPr>
          <w:position w:val="11"/>
          <w:sz w:val="11"/>
        </w:rPr>
        <w:t>2</w:t>
      </w:r>
      <w:r>
        <w:rPr/>
        <w:t>~300mg/m</w:t>
      </w:r>
      <w:r>
        <w:rPr>
          <w:position w:val="11"/>
          <w:sz w:val="11"/>
        </w:rPr>
        <w:t>2</w:t>
      </w:r>
      <w:r>
        <w:rPr>
          <w:spacing w:val="-7"/>
        </w:rPr>
        <w:t>；有芽孢污染时，应使用 </w:t>
      </w:r>
      <w:r>
        <w:rPr/>
        <w:t>5000 mg/L</w:t>
      </w:r>
      <w:r>
        <w:rPr>
          <w:spacing w:val="-19"/>
        </w:rPr>
        <w:t> 有效氯或 </w:t>
      </w:r>
      <w:r>
        <w:rPr/>
        <w:t>5000 mg/L</w:t>
      </w:r>
      <w:r>
        <w:rPr>
          <w:spacing w:val="-10"/>
        </w:rPr>
        <w:t> 过氧乙酸消</w:t>
      </w:r>
      <w:r>
        <w:rPr>
          <w:spacing w:val="-5"/>
        </w:rPr>
        <w:t>毒溶液喷雾消毒。</w:t>
      </w:r>
    </w:p>
    <w:p>
      <w:pPr>
        <w:pStyle w:val="BodyText"/>
        <w:spacing w:line="198" w:lineRule="exact"/>
        <w:ind w:left="220"/>
      </w:pPr>
      <w:r>
        <w:rPr>
          <w:u w:val="single"/>
        </w:rPr>
        <w:t>厕所、卫生间</w:t>
      </w:r>
    </w:p>
    <w:p>
      <w:pPr>
        <w:pStyle w:val="BodyText"/>
        <w:spacing w:line="417" w:lineRule="auto" w:before="120"/>
        <w:ind w:left="220" w:right="211" w:firstLine="419"/>
        <w:jc w:val="both"/>
      </w:pPr>
      <w:r>
        <w:rPr>
          <w:spacing w:val="-10"/>
        </w:rPr>
        <w:t>患者使用后的便盆、便池、坐便器先投入 </w:t>
      </w:r>
      <w:r>
        <w:rPr/>
        <w:t>50g</w:t>
      </w:r>
      <w:r>
        <w:rPr>
          <w:spacing w:val="-16"/>
        </w:rPr>
        <w:t> 漂白粉，作用 </w:t>
      </w:r>
      <w:r>
        <w:rPr/>
        <w:t>60min</w:t>
      </w:r>
      <w:r>
        <w:rPr>
          <w:spacing w:val="-9"/>
        </w:rPr>
        <w:t> 后再冲水。坐便器表</w:t>
      </w:r>
      <w:r>
        <w:rPr>
          <w:spacing w:val="-11"/>
        </w:rPr>
        <w:t>面用含有效氯 </w:t>
      </w:r>
      <w:r>
        <w:rPr/>
        <w:t>500mg/L</w:t>
      </w:r>
      <w:r>
        <w:rPr>
          <w:spacing w:val="-13"/>
        </w:rPr>
        <w:t> 的消毒液喷雾、擦拭消毒，作用 </w:t>
      </w:r>
      <w:r>
        <w:rPr/>
        <w:t>15min</w:t>
      </w:r>
      <w:r>
        <w:rPr>
          <w:spacing w:val="-6"/>
        </w:rPr>
        <w:t>。厕所、卫生间使用的拖把采</w:t>
      </w:r>
      <w:r>
        <w:rPr>
          <w:spacing w:val="-29"/>
        </w:rPr>
        <w:t>用 </w:t>
      </w:r>
      <w:r>
        <w:rPr/>
        <w:t>1000mg/L</w:t>
      </w:r>
      <w:r>
        <w:rPr>
          <w:spacing w:val="-14"/>
        </w:rPr>
        <w:t> 含氯消毒液浸泡 </w:t>
      </w:r>
      <w:r>
        <w:rPr/>
        <w:t>30min</w:t>
      </w:r>
      <w:r>
        <w:rPr>
          <w:spacing w:val="-9"/>
        </w:rPr>
        <w:t> 后再用清水清洗，厕所、卫生间的拖把应专用。</w:t>
      </w:r>
    </w:p>
    <w:p>
      <w:pPr>
        <w:pStyle w:val="BodyText"/>
        <w:ind w:left="220"/>
      </w:pPr>
      <w:r>
        <w:rPr>
          <w:u w:val="single"/>
        </w:rPr>
        <w:t>被污染饮食用具的消毒</w:t>
      </w:r>
    </w:p>
    <w:p>
      <w:pPr>
        <w:pStyle w:val="BodyText"/>
        <w:spacing w:before="12"/>
        <w:rPr>
          <w:sz w:val="9"/>
        </w:rPr>
      </w:pPr>
    </w:p>
    <w:p>
      <w:pPr>
        <w:pStyle w:val="BodyText"/>
        <w:spacing w:line="348" w:lineRule="auto" w:before="72"/>
        <w:ind w:left="220" w:right="2011" w:firstLine="419"/>
      </w:pPr>
      <w:r>
        <w:rPr/>
        <w:t>煮沸消毒30min，或用含有效氯500 mg/L消毒液浸泡30min~60min。</w:t>
      </w:r>
      <w:r>
        <w:rPr>
          <w:u w:val="single"/>
        </w:rPr>
        <w:t>玩具、学习用品</w:t>
      </w:r>
    </w:p>
    <w:p>
      <w:pPr>
        <w:pStyle w:val="BodyText"/>
        <w:spacing w:line="417" w:lineRule="auto"/>
        <w:ind w:left="220" w:right="216" w:firstLine="419"/>
      </w:pPr>
      <w:r>
        <w:rPr>
          <w:spacing w:val="-9"/>
        </w:rPr>
        <w:t>患儿接触过的玩具、学习用品用含有效氯</w:t>
      </w:r>
      <w:r>
        <w:rPr/>
        <w:t>500mg/L</w:t>
      </w:r>
      <w:r>
        <w:rPr>
          <w:spacing w:val="-8"/>
        </w:rPr>
        <w:t>的消毒液擦拭或浸泡，作用</w:t>
      </w:r>
      <w:r>
        <w:rPr/>
        <w:t>15min</w:t>
      </w:r>
      <w:r>
        <w:rPr>
          <w:spacing w:val="-3"/>
        </w:rPr>
        <w:t>后用清水擦拭、冲洗干净。</w:t>
      </w:r>
    </w:p>
    <w:p>
      <w:pPr>
        <w:pStyle w:val="BodyText"/>
        <w:ind w:left="220"/>
      </w:pPr>
      <w:r>
        <w:rPr>
          <w:u w:val="single"/>
        </w:rPr>
        <w:t>剩余食物的消毒</w:t>
      </w:r>
    </w:p>
    <w:p>
      <w:pPr>
        <w:pStyle w:val="BodyText"/>
        <w:spacing w:before="12"/>
        <w:rPr>
          <w:sz w:val="9"/>
        </w:rPr>
      </w:pPr>
    </w:p>
    <w:p>
      <w:pPr>
        <w:pStyle w:val="BodyText"/>
        <w:spacing w:line="417" w:lineRule="auto" w:before="71"/>
        <w:ind w:left="220" w:right="2683" w:firstLine="479"/>
      </w:pPr>
      <w:r>
        <w:rPr>
          <w:spacing w:val="-7"/>
        </w:rPr>
        <w:t>患者的剩余食物煮沸 </w:t>
      </w:r>
      <w:r>
        <w:rPr/>
        <w:t>1h</w:t>
      </w:r>
      <w:r>
        <w:rPr>
          <w:spacing w:val="-8"/>
        </w:rPr>
        <w:t> 或焚烧，可疑食物不得饲养家畜。</w:t>
      </w:r>
      <w:r>
        <w:rPr>
          <w:spacing w:val="-5"/>
          <w:u w:val="single"/>
        </w:rPr>
        <w:t>排泄物、分泌物等的消毒</w:t>
      </w:r>
    </w:p>
    <w:p>
      <w:pPr>
        <w:pStyle w:val="BodyText"/>
        <w:ind w:left="640"/>
      </w:pPr>
      <w:r>
        <w:rPr/>
        <w:t>排泄物、分泌物等消毒后必须达到无害化。用含有效氯 10000 mg/L 消毒液按粪：药为</w:t>
      </w:r>
    </w:p>
    <w:p>
      <w:pPr>
        <w:pStyle w:val="BodyText"/>
        <w:spacing w:before="6"/>
        <w:rPr>
          <w:sz w:val="15"/>
        </w:rPr>
      </w:pPr>
    </w:p>
    <w:p>
      <w:pPr>
        <w:pStyle w:val="BodyText"/>
        <w:spacing w:line="348" w:lineRule="auto" w:before="1"/>
        <w:ind w:left="220" w:right="1224"/>
      </w:pPr>
      <w:r>
        <w:rPr/>
        <w:t>1：2</w:t>
      </w:r>
      <w:r>
        <w:rPr>
          <w:spacing w:val="-14"/>
        </w:rPr>
        <w:t> 加入，搅拌作用 </w:t>
      </w:r>
      <w:r>
        <w:rPr/>
        <w:t>6h，</w:t>
      </w:r>
      <w:r>
        <w:rPr>
          <w:spacing w:val="-10"/>
        </w:rPr>
        <w:t>对稀便可按 </w:t>
      </w:r>
      <w:r>
        <w:rPr/>
        <w:t>5：1</w:t>
      </w:r>
      <w:r>
        <w:rPr>
          <w:spacing w:val="-11"/>
        </w:rPr>
        <w:t> 加入漂白粉</w:t>
      </w:r>
      <w:r>
        <w:rPr/>
        <w:t>（</w:t>
      </w:r>
      <w:r>
        <w:rPr>
          <w:spacing w:val="-11"/>
        </w:rPr>
        <w:t>有效氯含量 </w:t>
      </w:r>
      <w:r>
        <w:rPr/>
        <w:t>25%~32%） </w:t>
      </w:r>
      <w:r>
        <w:rPr>
          <w:spacing w:val="-3"/>
          <w:u w:val="single"/>
        </w:rPr>
        <w:t>衣物、被褥等织物</w:t>
      </w:r>
    </w:p>
    <w:p>
      <w:pPr>
        <w:pStyle w:val="BodyText"/>
        <w:spacing w:line="417" w:lineRule="auto"/>
        <w:ind w:left="220" w:right="108" w:firstLine="419"/>
      </w:pPr>
      <w:r>
        <w:rPr>
          <w:spacing w:val="-14"/>
        </w:rPr>
        <w:t>患者的衣服、被褥需要单独清洗，用 </w:t>
      </w:r>
      <w:r>
        <w:rPr/>
        <w:t>80</w:t>
      </w:r>
      <w:r>
        <w:rPr>
          <w:spacing w:val="-6"/>
        </w:rPr>
        <w:t>℃以上热水浸泡 </w:t>
      </w:r>
      <w:r>
        <w:rPr>
          <w:spacing w:val="-10"/>
        </w:rPr>
        <w:t>30min</w:t>
      </w:r>
      <w:r>
        <w:rPr>
          <w:spacing w:val="-9"/>
        </w:rPr>
        <w:t>，患儿所用毛巾、擦手巾、</w:t>
      </w:r>
      <w:r>
        <w:rPr>
          <w:spacing w:val="-10"/>
        </w:rPr>
        <w:t>尿布等每次清洗后煮沸 </w:t>
      </w:r>
      <w:r>
        <w:rPr/>
        <w:t>15min。</w:t>
      </w:r>
    </w:p>
    <w:p>
      <w:pPr>
        <w:spacing w:after="0" w:line="417" w:lineRule="auto"/>
        <w:sectPr>
          <w:type w:val="continuous"/>
          <w:pgSz w:w="11910" w:h="16840"/>
          <w:pgMar w:top="1580" w:bottom="280" w:left="1580" w:right="1580"/>
        </w:sectPr>
      </w:pPr>
    </w:p>
    <w:p>
      <w:pPr>
        <w:pStyle w:val="BodyText"/>
        <w:spacing w:before="44"/>
        <w:ind w:left="220"/>
      </w:pPr>
      <w:r>
        <w:rPr>
          <w:u w:val="single"/>
        </w:rPr>
        <w:t>垃圾</w:t>
      </w:r>
    </w:p>
    <w:p>
      <w:pPr>
        <w:pStyle w:val="BodyText"/>
        <w:spacing w:line="417" w:lineRule="auto" w:before="120"/>
        <w:ind w:left="220" w:right="434" w:firstLine="419"/>
      </w:pPr>
      <w:r>
        <w:rPr>
          <w:spacing w:val="-8"/>
        </w:rPr>
        <w:t>垃圾喷洒含有效氯 </w:t>
      </w:r>
      <w:r>
        <w:rPr/>
        <w:t>10000 mg/L</w:t>
      </w:r>
      <w:r>
        <w:rPr>
          <w:spacing w:val="-12"/>
        </w:rPr>
        <w:t> 消毒剂溶液，作用 </w:t>
      </w:r>
      <w:r>
        <w:rPr/>
        <w:t>60min</w:t>
      </w:r>
      <w:r>
        <w:rPr>
          <w:spacing w:val="-9"/>
        </w:rPr>
        <w:t> 后收集并进行无害化处理。</w:t>
      </w:r>
      <w:r>
        <w:rPr>
          <w:spacing w:val="-5"/>
          <w:u w:val="single"/>
        </w:rPr>
        <w:t>手、皮肤和黏膜消毒</w:t>
      </w:r>
    </w:p>
    <w:p>
      <w:pPr>
        <w:pStyle w:val="BodyText"/>
        <w:spacing w:line="417" w:lineRule="auto"/>
        <w:ind w:left="220" w:right="211" w:firstLine="479"/>
      </w:pPr>
      <w:r>
        <w:rPr>
          <w:spacing w:val="-1"/>
        </w:rPr>
        <w:t>受抵抗力低的细菌繁殖体和亲脂病毒污染时，可用速干手消毒剂；抵抗力较强的亲水</w:t>
      </w:r>
      <w:r>
        <w:rPr>
          <w:spacing w:val="-8"/>
        </w:rPr>
        <w:t>病毒、分枝杆菌污染时，可用碘伏、</w:t>
      </w:r>
      <w:r>
        <w:rPr/>
        <w:t>3%</w:t>
      </w:r>
      <w:r>
        <w:rPr>
          <w:spacing w:val="-7"/>
        </w:rPr>
        <w:t>过氧化氢消毒剂；对受到芽孢污染应充分洗手，必要</w:t>
      </w:r>
    </w:p>
    <w:p>
      <w:pPr>
        <w:pStyle w:val="BodyText"/>
        <w:spacing w:line="348" w:lineRule="auto"/>
        <w:ind w:left="220" w:right="3324"/>
      </w:pPr>
      <w:r>
        <w:rPr>
          <w:spacing w:val="-16"/>
        </w:rPr>
        <w:t>时用 </w:t>
      </w:r>
      <w:r>
        <w:rPr/>
        <w:t>0.2</w:t>
      </w:r>
      <w:r>
        <w:rPr>
          <w:spacing w:val="-9"/>
        </w:rPr>
        <w:t>%过氧乙酸或 </w:t>
      </w:r>
      <w:r>
        <w:rPr/>
        <w:t>1000mg/L</w:t>
      </w:r>
      <w:r>
        <w:rPr>
          <w:spacing w:val="-8"/>
        </w:rPr>
        <w:t> 有效氯消毒液进行消毒。</w:t>
      </w:r>
      <w:r>
        <w:rPr>
          <w:spacing w:val="-8"/>
          <w:u w:val="single"/>
        </w:rPr>
        <w:t>污水</w:t>
      </w:r>
    </w:p>
    <w:p>
      <w:pPr>
        <w:spacing w:line="417" w:lineRule="auto" w:before="0"/>
        <w:ind w:left="220" w:right="2316" w:firstLine="479"/>
        <w:jc w:val="left"/>
        <w:rPr>
          <w:b/>
          <w:sz w:val="21"/>
        </w:rPr>
      </w:pPr>
      <w:r>
        <w:rPr>
          <w:spacing w:val="-9"/>
          <w:sz w:val="21"/>
        </w:rPr>
        <w:t>污水按每升加 </w:t>
      </w:r>
      <w:r>
        <w:rPr>
          <w:sz w:val="21"/>
        </w:rPr>
        <w:t>4g</w:t>
      </w:r>
      <w:r>
        <w:rPr>
          <w:spacing w:val="-19"/>
          <w:sz w:val="21"/>
        </w:rPr>
        <w:t> 漂白粉或 </w:t>
      </w:r>
      <w:r>
        <w:rPr>
          <w:sz w:val="21"/>
        </w:rPr>
        <w:t>2</w:t>
      </w:r>
      <w:r>
        <w:rPr>
          <w:spacing w:val="-13"/>
          <w:sz w:val="21"/>
        </w:rPr>
        <w:t> 片消毒泡腾片搅匀，作用 </w:t>
      </w:r>
      <w:r>
        <w:rPr>
          <w:sz w:val="21"/>
        </w:rPr>
        <w:t>60min。</w:t>
      </w:r>
      <w:r>
        <w:rPr>
          <w:b/>
          <w:spacing w:val="-1"/>
          <w:sz w:val="21"/>
        </w:rPr>
        <w:t>经呼吸道途径传播传染病：</w:t>
      </w:r>
    </w:p>
    <w:p>
      <w:pPr>
        <w:pStyle w:val="BodyText"/>
        <w:ind w:left="700"/>
      </w:pPr>
      <w:r>
        <w:rPr/>
        <w:t>经呼吸道途径传播的传染病病原污染的地面、墙壁、用具等按肠道传染病终末消毒的</w:t>
      </w:r>
    </w:p>
    <w:p>
      <w:pPr>
        <w:pStyle w:val="BodyText"/>
        <w:spacing w:before="1"/>
        <w:rPr>
          <w:sz w:val="8"/>
        </w:rPr>
      </w:pPr>
    </w:p>
    <w:p>
      <w:pPr>
        <w:spacing w:after="0"/>
        <w:rPr>
          <w:sz w:val="8"/>
        </w:rPr>
        <w:sectPr>
          <w:pgSz w:w="11910" w:h="16840"/>
          <w:pgMar w:top="1400" w:bottom="280" w:left="1580" w:right="1580"/>
        </w:sectPr>
      </w:pPr>
    </w:p>
    <w:p>
      <w:pPr>
        <w:pStyle w:val="BodyText"/>
        <w:spacing w:before="85"/>
        <w:ind w:left="220"/>
        <w:rPr>
          <w:sz w:val="11"/>
        </w:rPr>
      </w:pPr>
      <w:r>
        <w:rPr>
          <w:spacing w:val="-15"/>
          <w:w w:val="100"/>
        </w:rPr>
        <w:t>要求进行消毒处理。室内空气可采用过氧乙酸熏蒸，药量</w:t>
      </w:r>
      <w:r>
        <w:rPr>
          <w:spacing w:val="-53"/>
        </w:rPr>
        <w:t> </w:t>
      </w:r>
      <w:r>
        <w:rPr>
          <w:w w:val="100"/>
        </w:rPr>
        <w:t>3g</w:t>
      </w:r>
      <w:r>
        <w:rPr>
          <w:spacing w:val="-3"/>
          <w:w w:val="100"/>
        </w:rPr>
        <w:t>/</w:t>
      </w:r>
      <w:r>
        <w:rPr>
          <w:spacing w:val="-29"/>
          <w:w w:val="100"/>
        </w:rPr>
        <w:t>m</w:t>
      </w:r>
      <w:r>
        <w:rPr>
          <w:spacing w:val="-183"/>
          <w:w w:val="100"/>
        </w:rPr>
        <w:t>（</w:t>
      </w:r>
      <w:r>
        <w:rPr>
          <w:w w:val="100"/>
          <w:position w:val="11"/>
          <w:sz w:val="11"/>
        </w:rPr>
        <w:t>2</w:t>
      </w:r>
    </w:p>
    <w:p>
      <w:pPr>
        <w:pStyle w:val="BodyText"/>
        <w:spacing w:before="95"/>
        <w:ind w:left="84"/>
      </w:pPr>
      <w:r>
        <w:rPr/>
        <w:br w:type="column"/>
      </w:r>
      <w:r>
        <w:rPr>
          <w:spacing w:val="-27"/>
        </w:rPr>
        <w:t>即 </w:t>
      </w:r>
      <w:r>
        <w:rPr/>
        <w:t>20</w:t>
      </w:r>
      <w:r>
        <w:rPr>
          <w:spacing w:val="-10"/>
        </w:rPr>
        <w:t>%的过氧乙酸 </w:t>
      </w:r>
      <w:r>
        <w:rPr/>
        <w:t>15ml</w:t>
      </w:r>
      <w:r>
        <w:rPr>
          <w:spacing w:val="-53"/>
        </w:rPr>
        <w:t> </w:t>
      </w:r>
      <w:r>
        <w:rPr/>
        <w:t>,15%</w:t>
      </w:r>
    </w:p>
    <w:p>
      <w:pPr>
        <w:spacing w:after="0"/>
        <w:sectPr>
          <w:type w:val="continuous"/>
          <w:pgSz w:w="11910" w:h="16840"/>
          <w:pgMar w:top="1580" w:bottom="280" w:left="1580" w:right="1580"/>
          <w:cols w:num="2" w:equalWidth="0">
            <w:col w:w="5833" w:space="40"/>
            <w:col w:w="2877"/>
          </w:cols>
        </w:sectPr>
      </w:pPr>
    </w:p>
    <w:p>
      <w:pPr>
        <w:pStyle w:val="BodyText"/>
        <w:spacing w:before="12"/>
        <w:rPr>
          <w:sz w:val="9"/>
        </w:rPr>
      </w:pPr>
    </w:p>
    <w:p>
      <w:pPr>
        <w:pStyle w:val="BodyText"/>
        <w:spacing w:line="412" w:lineRule="auto" w:before="72"/>
        <w:ind w:left="220" w:right="108"/>
      </w:pPr>
      <w:r>
        <w:rPr>
          <w:spacing w:val="-9"/>
        </w:rPr>
        <w:t>的过氧乙酸 20ml）</w:t>
      </w:r>
      <w:r>
        <w:rPr>
          <w:spacing w:val="-7"/>
        </w:rPr>
        <w:t>,置于搪瓷或玻璃器皿中加热熏蒸 </w:t>
      </w:r>
      <w:r>
        <w:rPr>
          <w:spacing w:val="-16"/>
        </w:rPr>
        <w:t>2h（</w:t>
      </w:r>
      <w:r>
        <w:rPr>
          <w:spacing w:val="-3"/>
        </w:rPr>
        <w:t>或采用过氧化氢雾化专用空气消毒器</w:t>
      </w:r>
      <w:r>
        <w:rPr>
          <w:spacing w:val="-41"/>
        </w:rPr>
        <w:t>），</w:t>
      </w:r>
      <w:r>
        <w:rPr>
          <w:spacing w:val="-13"/>
        </w:rPr>
        <w:t>熏蒸前应关闭门窗，封好缝隙，消毒完毕后开门窗通风；亦可采用气溶胶喷雾消毒法， </w:t>
      </w:r>
      <w:r>
        <w:rPr>
          <w:spacing w:val="-33"/>
        </w:rPr>
        <w:t>用 </w:t>
      </w:r>
      <w:r>
        <w:rPr/>
        <w:t>2</w:t>
      </w:r>
      <w:r>
        <w:rPr>
          <w:spacing w:val="-10"/>
        </w:rPr>
        <w:t>%过氧乙酸 </w:t>
      </w:r>
      <w:r>
        <w:rPr/>
        <w:t>8ml/ m</w:t>
      </w:r>
      <w:r>
        <w:rPr>
          <w:position w:val="11"/>
          <w:sz w:val="11"/>
        </w:rPr>
        <w:t>3</w:t>
      </w:r>
      <w:r>
        <w:rPr>
          <w:spacing w:val="-14"/>
        </w:rPr>
        <w:t>，消毒 </w:t>
      </w:r>
      <w:r>
        <w:rPr/>
        <w:t>1h。</w:t>
      </w:r>
    </w:p>
    <w:p>
      <w:pPr>
        <w:pStyle w:val="Heading3"/>
        <w:spacing w:before="5"/>
        <w:ind w:left="220"/>
      </w:pPr>
      <w:r>
        <w:rPr/>
        <w:t>注意事项 ：</w:t>
      </w:r>
    </w:p>
    <w:p>
      <w:pPr>
        <w:pStyle w:val="BodyText"/>
        <w:spacing w:before="122"/>
        <w:ind w:left="220"/>
      </w:pPr>
      <w:r>
        <w:rPr/>
        <w:t>（一）使用的消毒产品应有卫生安全评价报告并在当地卫生监督部门备案。</w:t>
      </w:r>
    </w:p>
    <w:p>
      <w:pPr>
        <w:pStyle w:val="BodyText"/>
        <w:spacing w:line="417" w:lineRule="auto" w:before="121"/>
        <w:ind w:left="220" w:right="211"/>
        <w:jc w:val="both"/>
      </w:pPr>
      <w:r>
        <w:rPr/>
        <w:t>（二</w:t>
      </w:r>
      <w:r>
        <w:rPr>
          <w:spacing w:val="-22"/>
        </w:rPr>
        <w:t>）</w:t>
      </w:r>
      <w:r>
        <w:rPr>
          <w:spacing w:val="-8"/>
        </w:rPr>
        <w:t>使用消毒剂前详读说明书。一般消毒剂具有毒性、腐蚀性、刺激性。消毒剂应在有效</w:t>
      </w:r>
      <w:r>
        <w:rPr>
          <w:spacing w:val="-12"/>
        </w:rPr>
        <w:t>期内使用，仅用于手、皮肤、物体及外环境的消毒处理，切忌内服。消毒剂应避光保存，放</w:t>
      </w:r>
      <w:r>
        <w:rPr>
          <w:spacing w:val="-6"/>
        </w:rPr>
        <w:t>置在儿童不易触及的地方。</w:t>
      </w:r>
    </w:p>
    <w:p>
      <w:pPr>
        <w:pStyle w:val="BodyText"/>
        <w:spacing w:line="417" w:lineRule="auto"/>
        <w:ind w:left="220" w:right="211"/>
        <w:jc w:val="both"/>
      </w:pPr>
      <w:r>
        <w:rPr/>
        <w:t>（</w:t>
      </w:r>
      <w:r>
        <w:rPr>
          <w:spacing w:val="-3"/>
        </w:rPr>
        <w:t>三</w:t>
      </w:r>
      <w:r>
        <w:rPr>
          <w:spacing w:val="-32"/>
        </w:rPr>
        <w:t>）</w:t>
      </w:r>
      <w:r>
        <w:rPr>
          <w:spacing w:val="-6"/>
        </w:rPr>
        <w:t>终末消毒应在当地疾病预防控制机构的指导下，由有关单位及时进行消毒，或由当地</w:t>
      </w:r>
      <w:r>
        <w:rPr>
          <w:spacing w:val="-9"/>
        </w:rPr>
        <w:t>疾病预防控制机构负责对其进行消毒处理。非专业消毒人员开展终末消毒前应接受培训。采</w:t>
      </w:r>
      <w:r>
        <w:rPr>
          <w:spacing w:val="-5"/>
        </w:rPr>
        <w:t>取正确的消毒方法并做好个人防护，应戴防护眼镜、口罩和手套等。</w:t>
      </w:r>
    </w:p>
    <w:p>
      <w:pPr>
        <w:spacing w:after="0" w:line="417" w:lineRule="auto"/>
        <w:jc w:val="both"/>
        <w:sectPr>
          <w:type w:val="continuous"/>
          <w:pgSz w:w="11910" w:h="16840"/>
          <w:pgMar w:top="1580" w:bottom="280" w:left="1580" w:right="1580"/>
        </w:sectPr>
      </w:pPr>
    </w:p>
    <w:p>
      <w:pPr>
        <w:pStyle w:val="Heading1"/>
        <w:rPr>
          <w:rFonts w:ascii="创艺简中圆" w:eastAsia="创艺简中圆" w:hint="eastAsia"/>
        </w:rPr>
      </w:pPr>
      <w:r>
        <w:rPr>
          <w:rFonts w:ascii="创艺简中圆" w:eastAsia="创艺简中圆" w:hint="eastAsia"/>
        </w:rPr>
        <w:t>附件 5</w:t>
      </w:r>
    </w:p>
    <w:p>
      <w:pPr>
        <w:pStyle w:val="BodyText"/>
        <w:rPr>
          <w:rFonts w:ascii="创艺简中圆"/>
          <w:sz w:val="24"/>
        </w:rPr>
      </w:pPr>
      <w:r>
        <w:rPr/>
        <w:br w:type="column"/>
      </w:r>
      <w:r>
        <w:rPr>
          <w:rFonts w:ascii="创艺简中圆"/>
          <w:sz w:val="24"/>
        </w:rPr>
      </w:r>
    </w:p>
    <w:p>
      <w:pPr>
        <w:pStyle w:val="BodyText"/>
        <w:spacing w:before="11"/>
        <w:rPr>
          <w:rFonts w:ascii="创艺简中圆"/>
          <w:sz w:val="23"/>
        </w:rPr>
      </w:pPr>
    </w:p>
    <w:p>
      <w:pPr>
        <w:spacing w:before="0"/>
        <w:ind w:left="220" w:right="0" w:firstLine="0"/>
        <w:jc w:val="left"/>
        <w:rPr>
          <w:b/>
          <w:sz w:val="24"/>
        </w:rPr>
      </w:pPr>
      <w:r>
        <w:rPr>
          <w:b/>
          <w:sz w:val="24"/>
        </w:rPr>
        <w:t>学校和托幼机构消毒物资建议储备清单</w:t>
      </w:r>
    </w:p>
    <w:p>
      <w:pPr>
        <w:spacing w:after="0"/>
        <w:jc w:val="left"/>
        <w:rPr>
          <w:sz w:val="24"/>
        </w:rPr>
        <w:sectPr>
          <w:pgSz w:w="11910" w:h="16840"/>
          <w:pgMar w:top="1440" w:bottom="280" w:left="1580" w:right="1580"/>
          <w:cols w:num="2" w:equalWidth="0">
            <w:col w:w="1156" w:space="949"/>
            <w:col w:w="6645"/>
          </w:cols>
        </w:sectPr>
      </w:pPr>
    </w:p>
    <w:p>
      <w:pPr>
        <w:pStyle w:val="BodyText"/>
        <w:spacing w:before="5"/>
        <w:rPr>
          <w:b/>
          <w:sz w:val="6"/>
        </w:rPr>
      </w:pPr>
    </w:p>
    <w:tbl>
      <w:tblPr>
        <w:tblW w:w="0" w:type="auto"/>
        <w:jc w:val="left"/>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7"/>
        <w:gridCol w:w="3269"/>
        <w:gridCol w:w="2436"/>
      </w:tblGrid>
      <w:tr>
        <w:trPr>
          <w:trHeight w:val="335" w:hRule="atLeast"/>
        </w:trPr>
        <w:tc>
          <w:tcPr>
            <w:tcW w:w="2417" w:type="dxa"/>
          </w:tcPr>
          <w:p>
            <w:pPr>
              <w:pStyle w:val="TableParagraph"/>
              <w:spacing w:before="52"/>
              <w:ind w:left="916" w:right="910"/>
              <w:jc w:val="center"/>
              <w:rPr>
                <w:sz w:val="18"/>
              </w:rPr>
            </w:pPr>
            <w:r>
              <w:rPr>
                <w:sz w:val="18"/>
              </w:rPr>
              <w:t>类  别</w:t>
            </w:r>
          </w:p>
        </w:tc>
        <w:tc>
          <w:tcPr>
            <w:tcW w:w="3269" w:type="dxa"/>
          </w:tcPr>
          <w:p>
            <w:pPr>
              <w:pStyle w:val="TableParagraph"/>
              <w:spacing w:before="52"/>
              <w:ind w:left="173" w:right="163"/>
              <w:jc w:val="center"/>
              <w:rPr>
                <w:sz w:val="18"/>
              </w:rPr>
            </w:pPr>
            <w:r>
              <w:rPr>
                <w:sz w:val="18"/>
              </w:rPr>
              <w:t>名  称</w:t>
            </w:r>
          </w:p>
        </w:tc>
        <w:tc>
          <w:tcPr>
            <w:tcW w:w="2436" w:type="dxa"/>
          </w:tcPr>
          <w:p>
            <w:pPr>
              <w:pStyle w:val="TableParagraph"/>
              <w:spacing w:before="52"/>
              <w:ind w:left="117" w:right="103"/>
              <w:jc w:val="center"/>
              <w:rPr>
                <w:sz w:val="18"/>
              </w:rPr>
            </w:pPr>
            <w:r>
              <w:rPr>
                <w:sz w:val="18"/>
              </w:rPr>
              <w:t>规  格</w:t>
            </w:r>
          </w:p>
        </w:tc>
      </w:tr>
      <w:tr>
        <w:trPr>
          <w:trHeight w:val="337" w:hRule="atLeast"/>
        </w:trPr>
        <w:tc>
          <w:tcPr>
            <w:tcW w:w="2417" w:type="dxa"/>
            <w:vMerge w:val="restart"/>
          </w:tcPr>
          <w:p>
            <w:pPr>
              <w:pStyle w:val="TableParagraph"/>
              <w:ind w:left="0"/>
              <w:rPr>
                <w:b/>
                <w:sz w:val="18"/>
              </w:rPr>
            </w:pPr>
          </w:p>
          <w:p>
            <w:pPr>
              <w:pStyle w:val="TableParagraph"/>
              <w:spacing w:before="3"/>
              <w:ind w:left="0"/>
              <w:rPr>
                <w:b/>
                <w:sz w:val="13"/>
              </w:rPr>
            </w:pPr>
          </w:p>
          <w:p>
            <w:pPr>
              <w:pStyle w:val="TableParagraph"/>
              <w:ind w:left="486"/>
              <w:rPr>
                <w:sz w:val="18"/>
              </w:rPr>
            </w:pPr>
            <w:r>
              <w:rPr>
                <w:sz w:val="18"/>
              </w:rPr>
              <w:t>一、消毒灭菌器械</w:t>
            </w:r>
          </w:p>
        </w:tc>
        <w:tc>
          <w:tcPr>
            <w:tcW w:w="3269" w:type="dxa"/>
          </w:tcPr>
          <w:p>
            <w:pPr>
              <w:pStyle w:val="TableParagraph"/>
              <w:spacing w:before="55"/>
              <w:ind w:left="173" w:right="163"/>
              <w:jc w:val="center"/>
              <w:rPr>
                <w:sz w:val="18"/>
              </w:rPr>
            </w:pPr>
            <w:r>
              <w:rPr>
                <w:sz w:val="18"/>
              </w:rPr>
              <w:t>贮压式喷雾器</w:t>
            </w:r>
          </w:p>
        </w:tc>
        <w:tc>
          <w:tcPr>
            <w:tcW w:w="2436" w:type="dxa"/>
          </w:tcPr>
          <w:p>
            <w:pPr>
              <w:pStyle w:val="TableParagraph"/>
              <w:ind w:left="0"/>
              <w:rPr>
                <w:rFonts w:ascii="Times New Roman"/>
                <w:sz w:val="18"/>
              </w:rPr>
            </w:pPr>
          </w:p>
        </w:tc>
      </w:tr>
      <w:tr>
        <w:trPr>
          <w:trHeight w:val="335" w:hRule="atLeast"/>
        </w:trPr>
        <w:tc>
          <w:tcPr>
            <w:tcW w:w="2417" w:type="dxa"/>
            <w:vMerge/>
            <w:tcBorders>
              <w:top w:val="nil"/>
            </w:tcBorders>
          </w:tcPr>
          <w:p>
            <w:pPr>
              <w:rPr>
                <w:sz w:val="2"/>
                <w:szCs w:val="2"/>
              </w:rPr>
            </w:pPr>
          </w:p>
        </w:tc>
        <w:tc>
          <w:tcPr>
            <w:tcW w:w="3269" w:type="dxa"/>
          </w:tcPr>
          <w:p>
            <w:pPr>
              <w:pStyle w:val="TableParagraph"/>
              <w:spacing w:before="52"/>
              <w:ind w:left="172" w:right="165"/>
              <w:jc w:val="center"/>
              <w:rPr>
                <w:sz w:val="18"/>
              </w:rPr>
            </w:pPr>
            <w:r>
              <w:rPr>
                <w:sz w:val="18"/>
              </w:rPr>
              <w:t>空气消毒机</w:t>
            </w:r>
          </w:p>
        </w:tc>
        <w:tc>
          <w:tcPr>
            <w:tcW w:w="2436" w:type="dxa"/>
          </w:tcPr>
          <w:p>
            <w:pPr>
              <w:pStyle w:val="TableParagraph"/>
              <w:spacing w:before="52"/>
              <w:ind w:left="117" w:right="109"/>
              <w:jc w:val="center"/>
              <w:rPr>
                <w:sz w:val="18"/>
              </w:rPr>
            </w:pPr>
            <w:r>
              <w:rPr>
                <w:sz w:val="18"/>
              </w:rPr>
              <w:t>循环风式</w:t>
            </w:r>
          </w:p>
        </w:tc>
      </w:tr>
      <w:tr>
        <w:trPr>
          <w:trHeight w:val="337" w:hRule="atLeast"/>
        </w:trPr>
        <w:tc>
          <w:tcPr>
            <w:tcW w:w="2417" w:type="dxa"/>
            <w:vMerge/>
            <w:tcBorders>
              <w:top w:val="nil"/>
            </w:tcBorders>
          </w:tcPr>
          <w:p>
            <w:pPr>
              <w:rPr>
                <w:sz w:val="2"/>
                <w:szCs w:val="2"/>
              </w:rPr>
            </w:pPr>
          </w:p>
        </w:tc>
        <w:tc>
          <w:tcPr>
            <w:tcW w:w="3269" w:type="dxa"/>
          </w:tcPr>
          <w:p>
            <w:pPr>
              <w:pStyle w:val="TableParagraph"/>
              <w:spacing w:before="55"/>
              <w:ind w:left="173" w:right="163"/>
              <w:jc w:val="center"/>
              <w:rPr>
                <w:sz w:val="18"/>
              </w:rPr>
            </w:pPr>
            <w:r>
              <w:rPr>
                <w:sz w:val="18"/>
              </w:rPr>
              <w:t>紫外线消毒灯</w:t>
            </w:r>
          </w:p>
        </w:tc>
        <w:tc>
          <w:tcPr>
            <w:tcW w:w="2436" w:type="dxa"/>
          </w:tcPr>
          <w:p>
            <w:pPr>
              <w:pStyle w:val="TableParagraph"/>
              <w:spacing w:before="55"/>
              <w:ind w:left="117" w:right="107"/>
              <w:jc w:val="center"/>
              <w:rPr>
                <w:sz w:val="18"/>
              </w:rPr>
            </w:pPr>
            <w:r>
              <w:rPr>
                <w:sz w:val="18"/>
              </w:rPr>
              <w:t>低臭氧或无臭氧</w:t>
            </w:r>
          </w:p>
        </w:tc>
      </w:tr>
      <w:tr>
        <w:trPr>
          <w:trHeight w:val="674" w:hRule="atLeast"/>
        </w:trPr>
        <w:tc>
          <w:tcPr>
            <w:tcW w:w="2417" w:type="dxa"/>
            <w:vMerge w:val="restart"/>
          </w:tcPr>
          <w:p>
            <w:pPr>
              <w:pStyle w:val="TableParagraph"/>
              <w:ind w:left="0"/>
              <w:rPr>
                <w:b/>
                <w:sz w:val="18"/>
              </w:rPr>
            </w:pPr>
          </w:p>
          <w:p>
            <w:pPr>
              <w:pStyle w:val="TableParagraph"/>
              <w:ind w:left="0"/>
              <w:rPr>
                <w:b/>
                <w:sz w:val="18"/>
              </w:rPr>
            </w:pPr>
          </w:p>
          <w:p>
            <w:pPr>
              <w:pStyle w:val="TableParagraph"/>
              <w:ind w:left="0"/>
              <w:rPr>
                <w:b/>
                <w:sz w:val="18"/>
              </w:rPr>
            </w:pPr>
          </w:p>
          <w:p>
            <w:pPr>
              <w:pStyle w:val="TableParagraph"/>
              <w:ind w:left="0"/>
              <w:rPr>
                <w:b/>
                <w:sz w:val="18"/>
              </w:rPr>
            </w:pPr>
          </w:p>
          <w:p>
            <w:pPr>
              <w:pStyle w:val="TableParagraph"/>
              <w:spacing w:before="12"/>
              <w:ind w:left="0"/>
              <w:rPr>
                <w:b/>
                <w:sz w:val="25"/>
              </w:rPr>
            </w:pPr>
          </w:p>
          <w:p>
            <w:pPr>
              <w:pStyle w:val="TableParagraph"/>
              <w:ind w:left="666"/>
              <w:rPr>
                <w:sz w:val="18"/>
              </w:rPr>
            </w:pPr>
            <w:r>
              <w:rPr>
                <w:sz w:val="18"/>
              </w:rPr>
              <w:t>二、消毒用品</w:t>
            </w:r>
          </w:p>
        </w:tc>
        <w:tc>
          <w:tcPr>
            <w:tcW w:w="3269" w:type="dxa"/>
          </w:tcPr>
          <w:p>
            <w:pPr>
              <w:pStyle w:val="TableParagraph"/>
              <w:spacing w:before="2"/>
              <w:ind w:left="0"/>
              <w:rPr>
                <w:b/>
                <w:sz w:val="17"/>
              </w:rPr>
            </w:pPr>
          </w:p>
          <w:p>
            <w:pPr>
              <w:pStyle w:val="TableParagraph"/>
              <w:ind w:left="172" w:right="165"/>
              <w:jc w:val="center"/>
              <w:rPr>
                <w:sz w:val="18"/>
              </w:rPr>
            </w:pPr>
            <w:r>
              <w:rPr>
                <w:sz w:val="18"/>
              </w:rPr>
              <w:t>漂精粉或漂白粉</w:t>
            </w:r>
          </w:p>
        </w:tc>
        <w:tc>
          <w:tcPr>
            <w:tcW w:w="2436" w:type="dxa"/>
          </w:tcPr>
          <w:p>
            <w:pPr>
              <w:pStyle w:val="TableParagraph"/>
              <w:spacing w:before="52"/>
              <w:ind w:left="451"/>
              <w:rPr>
                <w:sz w:val="18"/>
              </w:rPr>
            </w:pPr>
            <w:r>
              <w:rPr>
                <w:sz w:val="18"/>
              </w:rPr>
              <w:t>漂精粉有效氯≥50%</w:t>
            </w:r>
          </w:p>
          <w:p>
            <w:pPr>
              <w:pStyle w:val="TableParagraph"/>
              <w:spacing w:before="106"/>
              <w:ind w:left="451"/>
              <w:rPr>
                <w:sz w:val="18"/>
              </w:rPr>
            </w:pPr>
            <w:r>
              <w:rPr>
                <w:sz w:val="18"/>
              </w:rPr>
              <w:t>漂白粉有效氯≥25%</w:t>
            </w:r>
          </w:p>
        </w:tc>
      </w:tr>
      <w:tr>
        <w:trPr>
          <w:trHeight w:val="335" w:hRule="atLeast"/>
        </w:trPr>
        <w:tc>
          <w:tcPr>
            <w:tcW w:w="2417" w:type="dxa"/>
            <w:vMerge/>
            <w:tcBorders>
              <w:top w:val="nil"/>
            </w:tcBorders>
          </w:tcPr>
          <w:p>
            <w:pPr>
              <w:rPr>
                <w:sz w:val="2"/>
                <w:szCs w:val="2"/>
              </w:rPr>
            </w:pPr>
          </w:p>
        </w:tc>
        <w:tc>
          <w:tcPr>
            <w:tcW w:w="3269" w:type="dxa"/>
          </w:tcPr>
          <w:p>
            <w:pPr>
              <w:pStyle w:val="TableParagraph"/>
              <w:spacing w:before="52"/>
              <w:ind w:left="172" w:right="165"/>
              <w:jc w:val="center"/>
              <w:rPr>
                <w:sz w:val="18"/>
              </w:rPr>
            </w:pPr>
            <w:r>
              <w:rPr>
                <w:sz w:val="18"/>
              </w:rPr>
              <w:t>含氯泡腾片</w:t>
            </w:r>
          </w:p>
        </w:tc>
        <w:tc>
          <w:tcPr>
            <w:tcW w:w="2436" w:type="dxa"/>
          </w:tcPr>
          <w:p>
            <w:pPr>
              <w:pStyle w:val="TableParagraph"/>
              <w:ind w:left="0"/>
              <w:rPr>
                <w:rFonts w:ascii="Times New Roman"/>
                <w:sz w:val="18"/>
              </w:rPr>
            </w:pPr>
          </w:p>
        </w:tc>
      </w:tr>
      <w:tr>
        <w:trPr>
          <w:trHeight w:val="336" w:hRule="atLeast"/>
        </w:trPr>
        <w:tc>
          <w:tcPr>
            <w:tcW w:w="2417" w:type="dxa"/>
            <w:vMerge/>
            <w:tcBorders>
              <w:top w:val="nil"/>
            </w:tcBorders>
          </w:tcPr>
          <w:p>
            <w:pPr>
              <w:rPr>
                <w:sz w:val="2"/>
                <w:szCs w:val="2"/>
              </w:rPr>
            </w:pPr>
          </w:p>
        </w:tc>
        <w:tc>
          <w:tcPr>
            <w:tcW w:w="3269" w:type="dxa"/>
          </w:tcPr>
          <w:p>
            <w:pPr>
              <w:pStyle w:val="TableParagraph"/>
              <w:spacing w:before="53"/>
              <w:ind w:left="173" w:right="165"/>
              <w:jc w:val="center"/>
              <w:rPr>
                <w:sz w:val="18"/>
              </w:rPr>
            </w:pPr>
            <w:r>
              <w:rPr>
                <w:sz w:val="18"/>
              </w:rPr>
              <w:t>次氯酸钠类消毒液，如 84 消毒液等</w:t>
            </w:r>
          </w:p>
        </w:tc>
        <w:tc>
          <w:tcPr>
            <w:tcW w:w="2436" w:type="dxa"/>
          </w:tcPr>
          <w:p>
            <w:pPr>
              <w:pStyle w:val="TableParagraph"/>
              <w:ind w:left="0"/>
              <w:rPr>
                <w:rFonts w:ascii="Times New Roman"/>
                <w:sz w:val="18"/>
              </w:rPr>
            </w:pPr>
          </w:p>
        </w:tc>
      </w:tr>
      <w:tr>
        <w:trPr>
          <w:trHeight w:val="337" w:hRule="atLeast"/>
        </w:trPr>
        <w:tc>
          <w:tcPr>
            <w:tcW w:w="2417" w:type="dxa"/>
            <w:vMerge/>
            <w:tcBorders>
              <w:top w:val="nil"/>
            </w:tcBorders>
          </w:tcPr>
          <w:p>
            <w:pPr>
              <w:rPr>
                <w:sz w:val="2"/>
                <w:szCs w:val="2"/>
              </w:rPr>
            </w:pPr>
          </w:p>
        </w:tc>
        <w:tc>
          <w:tcPr>
            <w:tcW w:w="3269" w:type="dxa"/>
          </w:tcPr>
          <w:p>
            <w:pPr>
              <w:pStyle w:val="TableParagraph"/>
              <w:spacing w:before="55"/>
              <w:ind w:left="173" w:right="163"/>
              <w:jc w:val="center"/>
              <w:rPr>
                <w:sz w:val="18"/>
              </w:rPr>
            </w:pPr>
            <w:r>
              <w:rPr>
                <w:sz w:val="18"/>
              </w:rPr>
              <w:t>手消毒剂</w:t>
            </w:r>
          </w:p>
        </w:tc>
        <w:tc>
          <w:tcPr>
            <w:tcW w:w="2436" w:type="dxa"/>
          </w:tcPr>
          <w:p>
            <w:pPr>
              <w:pStyle w:val="TableParagraph"/>
              <w:ind w:left="0"/>
              <w:rPr>
                <w:rFonts w:ascii="Times New Roman"/>
                <w:sz w:val="18"/>
              </w:rPr>
            </w:pPr>
          </w:p>
        </w:tc>
      </w:tr>
      <w:tr>
        <w:trPr>
          <w:trHeight w:val="674" w:hRule="atLeast"/>
        </w:trPr>
        <w:tc>
          <w:tcPr>
            <w:tcW w:w="2417" w:type="dxa"/>
            <w:vMerge/>
            <w:tcBorders>
              <w:top w:val="nil"/>
            </w:tcBorders>
          </w:tcPr>
          <w:p>
            <w:pPr>
              <w:rPr>
                <w:sz w:val="2"/>
                <w:szCs w:val="2"/>
              </w:rPr>
            </w:pPr>
          </w:p>
        </w:tc>
        <w:tc>
          <w:tcPr>
            <w:tcW w:w="3269" w:type="dxa"/>
          </w:tcPr>
          <w:p>
            <w:pPr>
              <w:pStyle w:val="TableParagraph"/>
              <w:spacing w:before="52"/>
              <w:ind w:left="172" w:right="165"/>
              <w:jc w:val="center"/>
              <w:rPr>
                <w:sz w:val="18"/>
              </w:rPr>
            </w:pPr>
            <w:r>
              <w:rPr>
                <w:sz w:val="18"/>
              </w:rPr>
              <w:t>吸附式消毒干巾</w:t>
            </w:r>
          </w:p>
        </w:tc>
        <w:tc>
          <w:tcPr>
            <w:tcW w:w="2436" w:type="dxa"/>
          </w:tcPr>
          <w:p>
            <w:pPr>
              <w:pStyle w:val="TableParagraph"/>
              <w:spacing w:before="52"/>
              <w:ind w:left="117" w:right="109"/>
              <w:jc w:val="center"/>
              <w:rPr>
                <w:sz w:val="18"/>
              </w:rPr>
            </w:pPr>
            <w:r>
              <w:rPr>
                <w:sz w:val="18"/>
              </w:rPr>
              <w:t>含过氧乙酸、二氧化氯等高</w:t>
            </w:r>
          </w:p>
          <w:p>
            <w:pPr>
              <w:pStyle w:val="TableParagraph"/>
              <w:spacing w:before="106"/>
              <w:ind w:left="117" w:right="109"/>
              <w:jc w:val="center"/>
              <w:rPr>
                <w:sz w:val="18"/>
              </w:rPr>
            </w:pPr>
            <w:r>
              <w:rPr>
                <w:sz w:val="18"/>
              </w:rPr>
              <w:t>效消毒剂</w:t>
            </w:r>
          </w:p>
        </w:tc>
      </w:tr>
      <w:tr>
        <w:trPr>
          <w:trHeight w:val="671" w:hRule="atLeast"/>
        </w:trPr>
        <w:tc>
          <w:tcPr>
            <w:tcW w:w="2417" w:type="dxa"/>
            <w:vMerge/>
            <w:tcBorders>
              <w:top w:val="nil"/>
            </w:tcBorders>
          </w:tcPr>
          <w:p>
            <w:pPr>
              <w:rPr>
                <w:sz w:val="2"/>
                <w:szCs w:val="2"/>
              </w:rPr>
            </w:pPr>
          </w:p>
        </w:tc>
        <w:tc>
          <w:tcPr>
            <w:tcW w:w="3269" w:type="dxa"/>
          </w:tcPr>
          <w:p>
            <w:pPr>
              <w:pStyle w:val="TableParagraph"/>
              <w:spacing w:before="52"/>
              <w:ind w:left="173" w:right="163"/>
              <w:jc w:val="center"/>
              <w:rPr>
                <w:sz w:val="18"/>
              </w:rPr>
            </w:pPr>
            <w:r>
              <w:rPr>
                <w:sz w:val="18"/>
              </w:rPr>
              <w:t>含有高效消毒剂的湿巾</w:t>
            </w:r>
          </w:p>
        </w:tc>
        <w:tc>
          <w:tcPr>
            <w:tcW w:w="2436" w:type="dxa"/>
          </w:tcPr>
          <w:p>
            <w:pPr>
              <w:pStyle w:val="TableParagraph"/>
              <w:spacing w:before="52"/>
              <w:ind w:left="117" w:right="109"/>
              <w:jc w:val="center"/>
              <w:rPr>
                <w:sz w:val="18"/>
              </w:rPr>
            </w:pPr>
            <w:r>
              <w:rPr>
                <w:sz w:val="18"/>
              </w:rPr>
              <w:t>含过氧化氢、二氧化氯等高</w:t>
            </w:r>
          </w:p>
          <w:p>
            <w:pPr>
              <w:pStyle w:val="TableParagraph"/>
              <w:spacing w:before="106"/>
              <w:ind w:left="117" w:right="109"/>
              <w:jc w:val="center"/>
              <w:rPr>
                <w:sz w:val="18"/>
              </w:rPr>
            </w:pPr>
            <w:r>
              <w:rPr>
                <w:sz w:val="18"/>
              </w:rPr>
              <w:t>效消毒剂</w:t>
            </w:r>
          </w:p>
        </w:tc>
      </w:tr>
      <w:tr>
        <w:trPr>
          <w:trHeight w:val="338" w:hRule="atLeast"/>
        </w:trPr>
        <w:tc>
          <w:tcPr>
            <w:tcW w:w="2417" w:type="dxa"/>
            <w:vMerge w:val="restart"/>
          </w:tcPr>
          <w:p>
            <w:pPr>
              <w:pStyle w:val="TableParagraph"/>
              <w:ind w:left="0"/>
              <w:rPr>
                <w:b/>
                <w:sz w:val="18"/>
              </w:rPr>
            </w:pPr>
          </w:p>
          <w:p>
            <w:pPr>
              <w:pStyle w:val="TableParagraph"/>
              <w:ind w:left="0"/>
              <w:rPr>
                <w:b/>
                <w:sz w:val="18"/>
              </w:rPr>
            </w:pPr>
          </w:p>
          <w:p>
            <w:pPr>
              <w:pStyle w:val="TableParagraph"/>
              <w:spacing w:before="5"/>
              <w:ind w:left="0"/>
              <w:rPr>
                <w:b/>
                <w:sz w:val="22"/>
              </w:rPr>
            </w:pPr>
          </w:p>
          <w:p>
            <w:pPr>
              <w:pStyle w:val="TableParagraph"/>
              <w:ind w:left="666"/>
              <w:rPr>
                <w:sz w:val="18"/>
              </w:rPr>
            </w:pPr>
            <w:r>
              <w:rPr>
                <w:sz w:val="18"/>
              </w:rPr>
              <w:t>三、防护用品</w:t>
            </w:r>
          </w:p>
        </w:tc>
        <w:tc>
          <w:tcPr>
            <w:tcW w:w="3269" w:type="dxa"/>
          </w:tcPr>
          <w:p>
            <w:pPr>
              <w:pStyle w:val="TableParagraph"/>
              <w:spacing w:before="55"/>
              <w:ind w:left="172" w:right="165"/>
              <w:jc w:val="center"/>
              <w:rPr>
                <w:sz w:val="18"/>
              </w:rPr>
            </w:pPr>
            <w:r>
              <w:rPr>
                <w:sz w:val="18"/>
              </w:rPr>
              <w:t>一次性手套</w:t>
            </w:r>
          </w:p>
        </w:tc>
        <w:tc>
          <w:tcPr>
            <w:tcW w:w="2436" w:type="dxa"/>
          </w:tcPr>
          <w:p>
            <w:pPr>
              <w:pStyle w:val="TableParagraph"/>
              <w:ind w:left="0"/>
              <w:rPr>
                <w:rFonts w:ascii="Times New Roman"/>
                <w:sz w:val="18"/>
              </w:rPr>
            </w:pPr>
          </w:p>
        </w:tc>
      </w:tr>
      <w:tr>
        <w:trPr>
          <w:trHeight w:val="335" w:hRule="atLeast"/>
        </w:trPr>
        <w:tc>
          <w:tcPr>
            <w:tcW w:w="2417" w:type="dxa"/>
            <w:vMerge/>
            <w:tcBorders>
              <w:top w:val="nil"/>
            </w:tcBorders>
          </w:tcPr>
          <w:p>
            <w:pPr>
              <w:rPr>
                <w:sz w:val="2"/>
                <w:szCs w:val="2"/>
              </w:rPr>
            </w:pPr>
          </w:p>
        </w:tc>
        <w:tc>
          <w:tcPr>
            <w:tcW w:w="3269" w:type="dxa"/>
          </w:tcPr>
          <w:p>
            <w:pPr>
              <w:pStyle w:val="TableParagraph"/>
              <w:spacing w:before="52"/>
              <w:ind w:left="172" w:right="165"/>
              <w:jc w:val="center"/>
              <w:rPr>
                <w:sz w:val="18"/>
              </w:rPr>
            </w:pPr>
            <w:r>
              <w:rPr>
                <w:sz w:val="18"/>
              </w:rPr>
              <w:t>一次性医用外科口罩</w:t>
            </w:r>
          </w:p>
        </w:tc>
        <w:tc>
          <w:tcPr>
            <w:tcW w:w="2436" w:type="dxa"/>
          </w:tcPr>
          <w:p>
            <w:pPr>
              <w:pStyle w:val="TableParagraph"/>
              <w:ind w:left="0"/>
              <w:rPr>
                <w:rFonts w:ascii="Times New Roman"/>
                <w:sz w:val="18"/>
              </w:rPr>
            </w:pPr>
          </w:p>
        </w:tc>
      </w:tr>
      <w:tr>
        <w:trPr>
          <w:trHeight w:val="338" w:hRule="atLeast"/>
        </w:trPr>
        <w:tc>
          <w:tcPr>
            <w:tcW w:w="2417" w:type="dxa"/>
            <w:vMerge/>
            <w:tcBorders>
              <w:top w:val="nil"/>
            </w:tcBorders>
          </w:tcPr>
          <w:p>
            <w:pPr>
              <w:rPr>
                <w:sz w:val="2"/>
                <w:szCs w:val="2"/>
              </w:rPr>
            </w:pPr>
          </w:p>
        </w:tc>
        <w:tc>
          <w:tcPr>
            <w:tcW w:w="3269" w:type="dxa"/>
          </w:tcPr>
          <w:p>
            <w:pPr>
              <w:pStyle w:val="TableParagraph"/>
              <w:spacing w:before="55"/>
              <w:ind w:left="172" w:right="165"/>
              <w:jc w:val="center"/>
              <w:rPr>
                <w:sz w:val="18"/>
              </w:rPr>
            </w:pPr>
            <w:r>
              <w:rPr>
                <w:sz w:val="18"/>
              </w:rPr>
              <w:t>一次性医用防护口罩</w:t>
            </w:r>
          </w:p>
        </w:tc>
        <w:tc>
          <w:tcPr>
            <w:tcW w:w="2436" w:type="dxa"/>
          </w:tcPr>
          <w:p>
            <w:pPr>
              <w:pStyle w:val="TableParagraph"/>
              <w:ind w:left="0"/>
              <w:rPr>
                <w:rFonts w:ascii="Times New Roman"/>
                <w:sz w:val="18"/>
              </w:rPr>
            </w:pPr>
          </w:p>
        </w:tc>
      </w:tr>
      <w:tr>
        <w:trPr>
          <w:trHeight w:val="335" w:hRule="atLeast"/>
        </w:trPr>
        <w:tc>
          <w:tcPr>
            <w:tcW w:w="2417" w:type="dxa"/>
            <w:vMerge/>
            <w:tcBorders>
              <w:top w:val="nil"/>
            </w:tcBorders>
          </w:tcPr>
          <w:p>
            <w:pPr>
              <w:rPr>
                <w:sz w:val="2"/>
                <w:szCs w:val="2"/>
              </w:rPr>
            </w:pPr>
          </w:p>
        </w:tc>
        <w:tc>
          <w:tcPr>
            <w:tcW w:w="3269" w:type="dxa"/>
          </w:tcPr>
          <w:p>
            <w:pPr>
              <w:pStyle w:val="TableParagraph"/>
              <w:spacing w:before="52"/>
              <w:ind w:left="172" w:right="165"/>
              <w:jc w:val="center"/>
              <w:rPr>
                <w:sz w:val="18"/>
              </w:rPr>
            </w:pPr>
            <w:r>
              <w:rPr>
                <w:sz w:val="18"/>
              </w:rPr>
              <w:t>一次性帽子</w:t>
            </w:r>
          </w:p>
        </w:tc>
        <w:tc>
          <w:tcPr>
            <w:tcW w:w="2436" w:type="dxa"/>
          </w:tcPr>
          <w:p>
            <w:pPr>
              <w:pStyle w:val="TableParagraph"/>
              <w:ind w:left="0"/>
              <w:rPr>
                <w:rFonts w:ascii="Times New Roman"/>
                <w:sz w:val="18"/>
              </w:rPr>
            </w:pPr>
          </w:p>
        </w:tc>
      </w:tr>
      <w:tr>
        <w:trPr>
          <w:trHeight w:val="338" w:hRule="atLeast"/>
        </w:trPr>
        <w:tc>
          <w:tcPr>
            <w:tcW w:w="2417" w:type="dxa"/>
            <w:vMerge/>
            <w:tcBorders>
              <w:top w:val="nil"/>
            </w:tcBorders>
          </w:tcPr>
          <w:p>
            <w:pPr>
              <w:rPr>
                <w:sz w:val="2"/>
                <w:szCs w:val="2"/>
              </w:rPr>
            </w:pPr>
          </w:p>
        </w:tc>
        <w:tc>
          <w:tcPr>
            <w:tcW w:w="3269" w:type="dxa"/>
          </w:tcPr>
          <w:p>
            <w:pPr>
              <w:pStyle w:val="TableParagraph"/>
              <w:spacing w:before="53"/>
              <w:ind w:left="173" w:right="163"/>
              <w:jc w:val="center"/>
              <w:rPr>
                <w:sz w:val="18"/>
              </w:rPr>
            </w:pPr>
            <w:r>
              <w:rPr>
                <w:sz w:val="18"/>
              </w:rPr>
              <w:t>一次性隔离服</w:t>
            </w:r>
          </w:p>
        </w:tc>
        <w:tc>
          <w:tcPr>
            <w:tcW w:w="2436" w:type="dxa"/>
          </w:tcPr>
          <w:p>
            <w:pPr>
              <w:pStyle w:val="TableParagraph"/>
              <w:ind w:left="0"/>
              <w:rPr>
                <w:rFonts w:ascii="Times New Roman"/>
                <w:sz w:val="18"/>
              </w:rPr>
            </w:pPr>
          </w:p>
        </w:tc>
      </w:tr>
    </w:tbl>
    <w:p>
      <w:pPr>
        <w:spacing w:line="348" w:lineRule="auto" w:before="53"/>
        <w:ind w:left="220" w:right="218" w:firstLine="0"/>
        <w:jc w:val="both"/>
        <w:rPr>
          <w:sz w:val="18"/>
        </w:rPr>
      </w:pPr>
      <w:r>
        <w:rPr>
          <w:sz w:val="18"/>
        </w:rPr>
        <w:t>注：学校在购买空气消毒机、紫外线消毒灯、漂精粉或漂白粉、含氯泡腾片、次氯酸钠类消毒液、手消毒剂时应向经销商索取以下两项资料：1、消毒产品生产卫生企业许可证（进口产品除外）2、产品卫生安全评价报告或新消毒产品卫生许可批件。</w:t>
      </w:r>
    </w:p>
    <w:p>
      <w:pPr>
        <w:spacing w:after="0" w:line="348" w:lineRule="auto"/>
        <w:jc w:val="both"/>
        <w:rPr>
          <w:sz w:val="18"/>
        </w:rPr>
        <w:sectPr>
          <w:type w:val="continuous"/>
          <w:pgSz w:w="11910" w:h="16840"/>
          <w:pgMar w:top="1580" w:bottom="280" w:left="1580" w:right="1580"/>
        </w:sectPr>
      </w:pPr>
    </w:p>
    <w:p>
      <w:pPr>
        <w:pStyle w:val="Heading1"/>
        <w:rPr>
          <w:rFonts w:ascii="创艺简中圆" w:eastAsia="创艺简中圆" w:hint="eastAsia"/>
        </w:rPr>
      </w:pPr>
      <w:r>
        <w:rPr>
          <w:rFonts w:ascii="创艺简中圆" w:eastAsia="创艺简中圆" w:hint="eastAsia"/>
          <w:spacing w:val="-5"/>
        </w:rPr>
        <w:t>附 件 </w:t>
      </w:r>
      <w:r>
        <w:rPr>
          <w:rFonts w:ascii="创艺简中圆" w:eastAsia="创艺简中圆" w:hint="eastAsia"/>
          <w:spacing w:val="-19"/>
        </w:rPr>
        <w:t>6</w:t>
      </w:r>
    </w:p>
    <w:p>
      <w:pPr>
        <w:pStyle w:val="BodyText"/>
        <w:rPr>
          <w:rFonts w:ascii="创艺简中圆"/>
          <w:sz w:val="24"/>
        </w:rPr>
      </w:pPr>
      <w:r>
        <w:rPr/>
        <w:br w:type="column"/>
      </w:r>
      <w:r>
        <w:rPr>
          <w:rFonts w:ascii="创艺简中圆"/>
          <w:sz w:val="24"/>
        </w:rPr>
      </w:r>
    </w:p>
    <w:p>
      <w:pPr>
        <w:pStyle w:val="BodyText"/>
        <w:spacing w:before="11"/>
        <w:rPr>
          <w:rFonts w:ascii="创艺简中圆"/>
          <w:sz w:val="23"/>
        </w:rPr>
      </w:pPr>
    </w:p>
    <w:p>
      <w:pPr>
        <w:spacing w:before="0"/>
        <w:ind w:left="3" w:right="0" w:firstLine="0"/>
        <w:jc w:val="left"/>
        <w:rPr>
          <w:b/>
          <w:sz w:val="24"/>
        </w:rPr>
      </w:pPr>
      <w:r>
        <w:rPr>
          <w:b/>
          <w:sz w:val="24"/>
        </w:rPr>
        <w:t>江苏省学校和托幼机构传染病疫情防控措施建议书（式样）</w:t>
      </w:r>
    </w:p>
    <w:p>
      <w:pPr>
        <w:spacing w:after="0"/>
        <w:jc w:val="left"/>
        <w:rPr>
          <w:sz w:val="24"/>
        </w:rPr>
        <w:sectPr>
          <w:pgSz w:w="11910" w:h="16840"/>
          <w:pgMar w:top="1440" w:bottom="280" w:left="1580" w:right="1580"/>
          <w:cols w:num="2" w:equalWidth="0">
            <w:col w:w="1198" w:space="40"/>
            <w:col w:w="7512"/>
          </w:cols>
        </w:sectPr>
      </w:pPr>
    </w:p>
    <w:p>
      <w:pPr>
        <w:pStyle w:val="BodyText"/>
        <w:spacing w:before="5"/>
        <w:rPr>
          <w:b/>
          <w:sz w:val="6"/>
        </w:rPr>
      </w:pPr>
      <w:r>
        <w:rPr/>
        <w:pict>
          <v:line style="position:absolute;mso-position-horizontal-relative:page;mso-position-vertical-relative:page;z-index:-253045760" from="111.139999pt,284.815277pt" to="415.637614pt,284.815277pt" stroked="true" strokeweight=".24288pt" strokecolor="#000000">
            <v:stroke dashstyle="solid"/>
            <w10:wrap type="none"/>
          </v:line>
        </w:pict>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24"/>
      </w:tblGrid>
      <w:tr>
        <w:trPr>
          <w:trHeight w:val="1403" w:hRule="atLeast"/>
        </w:trPr>
        <w:tc>
          <w:tcPr>
            <w:tcW w:w="8524" w:type="dxa"/>
          </w:tcPr>
          <w:p>
            <w:pPr>
              <w:pStyle w:val="TableParagraph"/>
              <w:spacing w:before="99"/>
              <w:rPr>
                <w:sz w:val="21"/>
              </w:rPr>
            </w:pPr>
            <w:r>
              <w:rPr>
                <w:spacing w:val="-2"/>
                <w:w w:val="100"/>
                <w:sz w:val="21"/>
              </w:rPr>
              <w:t>疫情发生单位</w:t>
            </w:r>
            <w:r>
              <w:rPr>
                <w:spacing w:val="-3"/>
                <w:w w:val="100"/>
                <w:sz w:val="21"/>
              </w:rPr>
              <w:t>（</w:t>
            </w:r>
            <w:r>
              <w:rPr>
                <w:spacing w:val="-2"/>
                <w:w w:val="100"/>
                <w:sz w:val="21"/>
              </w:rPr>
              <w:t>个人</w:t>
            </w:r>
            <w:r>
              <w:rPr>
                <w:spacing w:val="-106"/>
                <w:w w:val="100"/>
                <w:sz w:val="21"/>
              </w:rPr>
              <w:t>）</w:t>
            </w:r>
            <w:r>
              <w:rPr>
                <w:w w:val="100"/>
                <w:sz w:val="21"/>
              </w:rPr>
              <w:t>：</w:t>
            </w:r>
          </w:p>
          <w:p>
            <w:pPr>
              <w:pStyle w:val="TableParagraph"/>
              <w:spacing w:before="7"/>
              <w:ind w:left="0"/>
              <w:rPr>
                <w:b/>
                <w:sz w:val="15"/>
              </w:rPr>
            </w:pPr>
          </w:p>
          <w:p>
            <w:pPr>
              <w:pStyle w:val="TableParagraph"/>
              <w:tabs>
                <w:tab w:pos="6408" w:val="left" w:leader="none"/>
              </w:tabs>
              <w:rPr>
                <w:sz w:val="21"/>
              </w:rPr>
            </w:pPr>
            <w:r>
              <w:rPr>
                <w:sz w:val="21"/>
              </w:rPr>
              <w:t>地址：</w:t>
              <w:tab/>
              <w:t>邮编：</w:t>
            </w:r>
          </w:p>
          <w:p>
            <w:pPr>
              <w:pStyle w:val="TableParagraph"/>
              <w:spacing w:before="6"/>
              <w:ind w:left="0"/>
              <w:rPr>
                <w:b/>
                <w:sz w:val="15"/>
              </w:rPr>
            </w:pPr>
          </w:p>
          <w:p>
            <w:pPr>
              <w:pStyle w:val="TableParagraph"/>
              <w:tabs>
                <w:tab w:pos="3468" w:val="left" w:leader="none"/>
                <w:tab w:pos="6408" w:val="left" w:leader="none"/>
              </w:tabs>
              <w:spacing w:before="1"/>
              <w:rPr>
                <w:sz w:val="21"/>
              </w:rPr>
            </w:pPr>
            <w:r>
              <w:rPr>
                <w:sz w:val="21"/>
              </w:rPr>
              <w:t>负责</w:t>
            </w:r>
            <w:r>
              <w:rPr>
                <w:spacing w:val="-3"/>
                <w:sz w:val="21"/>
              </w:rPr>
              <w:t>人</w:t>
            </w:r>
            <w:r>
              <w:rPr>
                <w:sz w:val="21"/>
              </w:rPr>
              <w:t>姓</w:t>
            </w:r>
            <w:r>
              <w:rPr>
                <w:spacing w:val="-3"/>
                <w:sz w:val="21"/>
              </w:rPr>
              <w:t>名</w:t>
            </w:r>
            <w:r>
              <w:rPr>
                <w:sz w:val="21"/>
              </w:rPr>
              <w:t>：</w:t>
              <w:tab/>
              <w:t>职务：</w:t>
              <w:tab/>
              <w:t>电话：</w:t>
            </w:r>
          </w:p>
        </w:tc>
      </w:tr>
      <w:tr>
        <w:trPr>
          <w:trHeight w:val="2340" w:hRule="atLeast"/>
        </w:trPr>
        <w:tc>
          <w:tcPr>
            <w:tcW w:w="8524" w:type="dxa"/>
          </w:tcPr>
          <w:p>
            <w:pPr>
              <w:pStyle w:val="TableParagraph"/>
              <w:tabs>
                <w:tab w:pos="950" w:val="left" w:leader="none"/>
                <w:tab w:pos="3026" w:val="left" w:leader="none"/>
                <w:tab w:pos="4596" w:val="left" w:leader="none"/>
                <w:tab w:pos="5105" w:val="left" w:leader="none"/>
                <w:tab w:pos="5443" w:val="left" w:leader="none"/>
                <w:tab w:pos="6293" w:val="left" w:leader="none"/>
                <w:tab w:pos="6658" w:val="left" w:leader="none"/>
                <w:tab w:pos="7570" w:val="left" w:leader="none"/>
                <w:tab w:pos="8103" w:val="left" w:leader="none"/>
                <w:tab w:pos="8465" w:val="left" w:leader="none"/>
              </w:tabs>
              <w:spacing w:line="417" w:lineRule="auto" w:before="99"/>
              <w:ind w:right="-15" w:firstLine="419"/>
              <w:rPr>
                <w:sz w:val="21"/>
              </w:rPr>
            </w:pPr>
            <w:r>
              <w:rPr>
                <w:spacing w:val="4"/>
                <w:sz w:val="21"/>
              </w:rPr>
              <w:t>疫</w:t>
            </w:r>
            <w:r>
              <w:rPr>
                <w:sz w:val="21"/>
              </w:rPr>
              <w:t>情开</w:t>
            </w:r>
            <w:r>
              <w:rPr>
                <w:spacing w:val="4"/>
                <w:sz w:val="21"/>
              </w:rPr>
              <w:t>始</w:t>
            </w:r>
            <w:r>
              <w:rPr>
                <w:sz w:val="21"/>
              </w:rPr>
              <w:t>时</w:t>
            </w:r>
            <w:r>
              <w:rPr>
                <w:spacing w:val="4"/>
                <w:sz w:val="21"/>
              </w:rPr>
              <w:t>间</w:t>
            </w:r>
            <w:r>
              <w:rPr>
                <w:sz w:val="21"/>
              </w:rPr>
              <w:t>（首</w:t>
            </w:r>
            <w:r>
              <w:rPr>
                <w:spacing w:val="4"/>
                <w:sz w:val="21"/>
              </w:rPr>
              <w:t>发</w:t>
            </w:r>
            <w:r>
              <w:rPr>
                <w:sz w:val="21"/>
              </w:rPr>
              <w:t>病例</w:t>
            </w:r>
            <w:r>
              <w:rPr>
                <w:spacing w:val="4"/>
                <w:sz w:val="21"/>
              </w:rPr>
              <w:t>发</w:t>
            </w:r>
            <w:r>
              <w:rPr>
                <w:sz w:val="21"/>
              </w:rPr>
              <w:t>病时</w:t>
            </w:r>
            <w:r>
              <w:rPr>
                <w:spacing w:val="4"/>
                <w:sz w:val="21"/>
              </w:rPr>
              <w:t>间</w:t>
            </w:r>
            <w:r>
              <w:rPr>
                <w:spacing w:val="8"/>
                <w:sz w:val="21"/>
              </w:rPr>
              <w:t>）</w:t>
            </w:r>
            <w:r>
              <w:rPr>
                <w:spacing w:val="8"/>
                <w:sz w:val="21"/>
                <w:u w:val="single"/>
              </w:rPr>
              <w:t> </w:t>
              <w:tab/>
            </w:r>
            <w:r>
              <w:rPr>
                <w:sz w:val="21"/>
              </w:rPr>
              <w:t>月</w:t>
            </w:r>
            <w:r>
              <w:rPr>
                <w:sz w:val="21"/>
                <w:u w:val="single"/>
              </w:rPr>
              <w:t> </w:t>
              <w:tab/>
              <w:tab/>
            </w:r>
            <w:r>
              <w:rPr>
                <w:spacing w:val="4"/>
                <w:sz w:val="21"/>
              </w:rPr>
              <w:t>日</w:t>
            </w:r>
            <w:r>
              <w:rPr>
                <w:spacing w:val="4"/>
                <w:sz w:val="21"/>
                <w:u w:val="single"/>
              </w:rPr>
              <w:t> </w:t>
              <w:tab/>
            </w:r>
            <w:r>
              <w:rPr>
                <w:sz w:val="21"/>
              </w:rPr>
              <w:t>时，</w:t>
            </w:r>
            <w:r>
              <w:rPr>
                <w:spacing w:val="5"/>
                <w:sz w:val="21"/>
              </w:rPr>
              <w:t>至</w:t>
            </w:r>
            <w:r>
              <w:rPr>
                <w:spacing w:val="5"/>
                <w:sz w:val="21"/>
                <w:u w:val="single"/>
              </w:rPr>
              <w:t> </w:t>
              <w:tab/>
            </w:r>
            <w:r>
              <w:rPr>
                <w:sz w:val="21"/>
              </w:rPr>
              <w:t>月</w:t>
            </w:r>
            <w:r>
              <w:rPr>
                <w:sz w:val="21"/>
                <w:u w:val="single"/>
              </w:rPr>
              <w:tab/>
              <w:tab/>
              <w:t> </w:t>
            </w:r>
            <w:r>
              <w:rPr>
                <w:sz w:val="21"/>
              </w:rPr>
              <w:t>日</w:t>
            </w:r>
            <w:r>
              <w:rPr>
                <w:sz w:val="21"/>
                <w:u w:val="single"/>
              </w:rPr>
              <w:t> </w:t>
              <w:tab/>
            </w:r>
            <w:r>
              <w:rPr>
                <w:spacing w:val="-3"/>
                <w:sz w:val="21"/>
              </w:rPr>
              <w:t>时</w:t>
            </w:r>
            <w:r>
              <w:rPr>
                <w:spacing w:val="-25"/>
                <w:sz w:val="21"/>
              </w:rPr>
              <w:t>，</w:t>
            </w:r>
            <w:r>
              <w:rPr>
                <w:spacing w:val="-3"/>
                <w:sz w:val="21"/>
              </w:rPr>
              <w:t>累</w:t>
            </w:r>
            <w:r>
              <w:rPr>
                <w:sz w:val="21"/>
              </w:rPr>
              <w:t>计</w:t>
            </w:r>
            <w:r>
              <w:rPr>
                <w:spacing w:val="-3"/>
                <w:sz w:val="21"/>
              </w:rPr>
              <w:t>发</w:t>
            </w:r>
            <w:r>
              <w:rPr>
                <w:sz w:val="21"/>
              </w:rPr>
              <w:t>病</w:t>
            </w:r>
            <w:r>
              <w:rPr>
                <w:sz w:val="21"/>
                <w:u w:val="single"/>
              </w:rPr>
              <w:t> </w:t>
              <w:tab/>
            </w:r>
            <w:r>
              <w:rPr>
                <w:sz w:val="21"/>
              </w:rPr>
              <w:t>例</w:t>
            </w:r>
            <w:r>
              <w:rPr>
                <w:spacing w:val="-27"/>
                <w:sz w:val="21"/>
              </w:rPr>
              <w:t>，</w:t>
            </w:r>
            <w:r>
              <w:rPr>
                <w:sz w:val="21"/>
              </w:rPr>
              <w:t>其中</w:t>
            </w:r>
            <w:r>
              <w:rPr>
                <w:spacing w:val="-3"/>
                <w:sz w:val="21"/>
              </w:rPr>
              <w:t>住</w:t>
            </w:r>
            <w:r>
              <w:rPr>
                <w:sz w:val="21"/>
              </w:rPr>
              <w:t>院</w:t>
            </w:r>
            <w:r>
              <w:rPr>
                <w:sz w:val="21"/>
                <w:u w:val="single"/>
              </w:rPr>
              <w:t> </w:t>
              <w:tab/>
              <w:tab/>
            </w:r>
            <w:r>
              <w:rPr>
                <w:sz w:val="21"/>
              </w:rPr>
              <w:t>例</w:t>
            </w:r>
            <w:r>
              <w:rPr>
                <w:spacing w:val="-27"/>
                <w:sz w:val="21"/>
              </w:rPr>
              <w:t>，</w:t>
            </w:r>
            <w:r>
              <w:rPr>
                <w:sz w:val="21"/>
              </w:rPr>
              <w:t>重</w:t>
            </w:r>
            <w:r>
              <w:rPr>
                <w:spacing w:val="-3"/>
                <w:sz w:val="21"/>
              </w:rPr>
              <w:t>症</w:t>
            </w:r>
            <w:r>
              <w:rPr>
                <w:spacing w:val="-3"/>
                <w:sz w:val="21"/>
                <w:u w:val="single"/>
              </w:rPr>
              <w:t> </w:t>
              <w:tab/>
              <w:tab/>
            </w:r>
            <w:r>
              <w:rPr>
                <w:spacing w:val="-3"/>
                <w:sz w:val="21"/>
              </w:rPr>
              <w:t>例</w:t>
            </w:r>
            <w:r>
              <w:rPr>
                <w:spacing w:val="-25"/>
                <w:sz w:val="21"/>
              </w:rPr>
              <w:t>，</w:t>
            </w:r>
            <w:r>
              <w:rPr>
                <w:spacing w:val="-3"/>
                <w:sz w:val="21"/>
              </w:rPr>
              <w:t>死</w:t>
            </w:r>
            <w:r>
              <w:rPr>
                <w:sz w:val="21"/>
              </w:rPr>
              <w:t>亡</w:t>
            </w:r>
            <w:r>
              <w:rPr>
                <w:sz w:val="21"/>
                <w:u w:val="single"/>
              </w:rPr>
              <w:t> </w:t>
              <w:tab/>
              <w:tab/>
            </w:r>
            <w:r>
              <w:rPr>
                <w:spacing w:val="-3"/>
                <w:sz w:val="21"/>
              </w:rPr>
              <w:t>例</w:t>
            </w:r>
            <w:r>
              <w:rPr>
                <w:spacing w:val="-14"/>
                <w:sz w:val="21"/>
              </w:rPr>
              <w:t>。</w:t>
            </w:r>
          </w:p>
          <w:p>
            <w:pPr>
              <w:pStyle w:val="TableParagraph"/>
              <w:tabs>
                <w:tab w:pos="6617" w:val="left" w:leader="none"/>
                <w:tab w:pos="7155" w:val="left" w:leader="none"/>
              </w:tabs>
              <w:spacing w:line="417" w:lineRule="auto"/>
              <w:ind w:right="93" w:firstLine="429"/>
              <w:rPr>
                <w:sz w:val="21"/>
              </w:rPr>
            </w:pPr>
            <w:r>
              <w:rPr>
                <w:sz w:val="21"/>
              </w:rPr>
              <w:t>病例</w:t>
            </w:r>
            <w:r>
              <w:rPr>
                <w:spacing w:val="-3"/>
                <w:sz w:val="21"/>
              </w:rPr>
              <w:t>主</w:t>
            </w:r>
            <w:r>
              <w:rPr>
                <w:sz w:val="21"/>
              </w:rPr>
              <w:t>要</w:t>
            </w:r>
            <w:r>
              <w:rPr>
                <w:spacing w:val="-3"/>
                <w:sz w:val="21"/>
              </w:rPr>
              <w:t>症</w:t>
            </w:r>
            <w:r>
              <w:rPr>
                <w:sz w:val="21"/>
              </w:rPr>
              <w:t>状为</w:t>
            </w:r>
            <w:r>
              <w:rPr>
                <w:sz w:val="21"/>
                <w:u w:val="single"/>
              </w:rPr>
              <w:t> </w:t>
              <w:tab/>
              <w:tab/>
            </w:r>
            <w:r>
              <w:rPr>
                <w:sz w:val="21"/>
              </w:rPr>
              <w:t>，</w:t>
            </w:r>
            <w:r>
              <w:rPr>
                <w:spacing w:val="-3"/>
                <w:sz w:val="21"/>
              </w:rPr>
              <w:t>病例</w:t>
            </w:r>
            <w:r>
              <w:rPr>
                <w:sz w:val="21"/>
              </w:rPr>
              <w:t>主要</w:t>
            </w:r>
            <w:r>
              <w:rPr>
                <w:spacing w:val="-16"/>
                <w:sz w:val="21"/>
              </w:rPr>
              <w:t>分</w:t>
            </w:r>
            <w:r>
              <w:rPr>
                <w:sz w:val="21"/>
              </w:rPr>
              <w:t>布于</w:t>
              <w:tab/>
            </w:r>
            <w:r>
              <w:rPr>
                <w:spacing w:val="-94"/>
                <w:sz w:val="21"/>
              </w:rPr>
              <w:t>，</w:t>
            </w:r>
            <w:r>
              <w:rPr>
                <w:spacing w:val="-3"/>
                <w:sz w:val="21"/>
              </w:rPr>
              <w:t>初</w:t>
            </w:r>
            <w:r>
              <w:rPr>
                <w:sz w:val="21"/>
              </w:rPr>
              <w:t>步</w:t>
            </w:r>
            <w:r>
              <w:rPr>
                <w:spacing w:val="-3"/>
                <w:sz w:val="21"/>
              </w:rPr>
              <w:t>判</w:t>
            </w:r>
            <w:r>
              <w:rPr>
                <w:sz w:val="21"/>
              </w:rPr>
              <w:t>定疫</w:t>
            </w:r>
            <w:r>
              <w:rPr>
                <w:spacing w:val="-3"/>
                <w:sz w:val="21"/>
              </w:rPr>
              <w:t>情</w:t>
            </w:r>
            <w:r>
              <w:rPr>
                <w:sz w:val="21"/>
              </w:rPr>
              <w:t>性</w:t>
            </w:r>
            <w:r>
              <w:rPr>
                <w:spacing w:val="-14"/>
                <w:sz w:val="21"/>
              </w:rPr>
              <w:t>质</w:t>
            </w:r>
          </w:p>
          <w:p>
            <w:pPr>
              <w:pStyle w:val="TableParagraph"/>
              <w:tabs>
                <w:tab w:pos="3888" w:val="left" w:leader="none"/>
              </w:tabs>
              <w:spacing w:line="269" w:lineRule="exact"/>
              <w:rPr>
                <w:sz w:val="21"/>
              </w:rPr>
            </w:pPr>
            <w:r>
              <w:rPr>
                <w:sz w:val="21"/>
              </w:rPr>
              <w:t>为</w:t>
            </w:r>
            <w:r>
              <w:rPr>
                <w:sz w:val="21"/>
                <w:u w:val="single"/>
              </w:rPr>
              <w:t> </w:t>
              <w:tab/>
            </w:r>
            <w:r>
              <w:rPr>
                <w:sz w:val="21"/>
              </w:rPr>
              <w:t>。</w:t>
            </w:r>
          </w:p>
        </w:tc>
      </w:tr>
      <w:tr>
        <w:trPr>
          <w:trHeight w:val="5995" w:hRule="atLeast"/>
        </w:trPr>
        <w:tc>
          <w:tcPr>
            <w:tcW w:w="8524" w:type="dxa"/>
          </w:tcPr>
          <w:p>
            <w:pPr>
              <w:pStyle w:val="TableParagraph"/>
              <w:spacing w:before="99"/>
              <w:ind w:left="527"/>
              <w:rPr>
                <w:sz w:val="21"/>
              </w:rPr>
            </w:pPr>
            <w:r>
              <w:rPr>
                <w:sz w:val="21"/>
              </w:rPr>
              <w:t>疫情控制建议：</w:t>
            </w:r>
          </w:p>
          <w:p>
            <w:pPr>
              <w:pStyle w:val="TableParagraph"/>
              <w:spacing w:before="7"/>
              <w:ind w:left="0"/>
              <w:rPr>
                <w:b/>
                <w:sz w:val="15"/>
              </w:rPr>
            </w:pPr>
          </w:p>
          <w:p>
            <w:pPr>
              <w:pStyle w:val="TableParagraph"/>
              <w:tabs>
                <w:tab w:pos="3787" w:val="left" w:leader="none"/>
              </w:tabs>
              <w:spacing w:line="417" w:lineRule="auto"/>
              <w:ind w:right="92" w:firstLine="419"/>
              <w:rPr>
                <w:sz w:val="21"/>
              </w:rPr>
            </w:pPr>
            <w:r>
              <w:rPr>
                <w:sz w:val="21"/>
              </w:rPr>
              <w:t>为做好</w:t>
            </w:r>
            <w:r>
              <w:rPr>
                <w:sz w:val="21"/>
                <w:u w:val="single"/>
              </w:rPr>
              <w:t> </w:t>
              <w:tab/>
            </w:r>
            <w:r>
              <w:rPr>
                <w:sz w:val="21"/>
              </w:rPr>
              <w:t>疫</w:t>
            </w:r>
            <w:r>
              <w:rPr>
                <w:spacing w:val="-3"/>
                <w:sz w:val="21"/>
              </w:rPr>
              <w:t>情</w:t>
            </w:r>
            <w:r>
              <w:rPr>
                <w:sz w:val="21"/>
              </w:rPr>
              <w:t>控制</w:t>
            </w:r>
            <w:r>
              <w:rPr>
                <w:spacing w:val="-3"/>
                <w:sz w:val="21"/>
              </w:rPr>
              <w:t>工</w:t>
            </w:r>
            <w:r>
              <w:rPr>
                <w:sz w:val="21"/>
              </w:rPr>
              <w:t>作</w:t>
            </w:r>
            <w:r>
              <w:rPr>
                <w:spacing w:val="-3"/>
                <w:sz w:val="21"/>
              </w:rPr>
              <w:t>，</w:t>
            </w:r>
            <w:r>
              <w:rPr>
                <w:sz w:val="21"/>
              </w:rPr>
              <w:t>防止疫</w:t>
            </w:r>
            <w:r>
              <w:rPr>
                <w:spacing w:val="-3"/>
                <w:sz w:val="21"/>
              </w:rPr>
              <w:t>情</w:t>
            </w:r>
            <w:r>
              <w:rPr>
                <w:sz w:val="21"/>
              </w:rPr>
              <w:t>进一步</w:t>
            </w:r>
            <w:r>
              <w:rPr>
                <w:spacing w:val="-3"/>
                <w:sz w:val="21"/>
              </w:rPr>
              <w:t>扩</w:t>
            </w:r>
            <w:r>
              <w:rPr>
                <w:sz w:val="21"/>
              </w:rPr>
              <w:t>散，</w:t>
            </w:r>
            <w:r>
              <w:rPr>
                <w:spacing w:val="-3"/>
                <w:sz w:val="21"/>
              </w:rPr>
              <w:t>请</w:t>
            </w:r>
            <w:r>
              <w:rPr>
                <w:sz w:val="21"/>
              </w:rPr>
              <w:t>加强、</w:t>
            </w:r>
            <w:r>
              <w:rPr>
                <w:spacing w:val="-14"/>
                <w:sz w:val="21"/>
              </w:rPr>
              <w:t>落</w:t>
            </w:r>
            <w:r>
              <w:rPr>
                <w:sz w:val="21"/>
              </w:rPr>
              <w:t>实以</w:t>
            </w:r>
            <w:r>
              <w:rPr>
                <w:spacing w:val="-3"/>
                <w:sz w:val="21"/>
              </w:rPr>
              <w:t>下</w:t>
            </w:r>
            <w:r>
              <w:rPr>
                <w:sz w:val="21"/>
              </w:rPr>
              <w:t>防</w:t>
            </w:r>
            <w:r>
              <w:rPr>
                <w:spacing w:val="-3"/>
                <w:sz w:val="21"/>
              </w:rPr>
              <w:t>控</w:t>
            </w:r>
            <w:r>
              <w:rPr>
                <w:sz w:val="21"/>
              </w:rPr>
              <w:t>措</w:t>
            </w:r>
            <w:r>
              <w:rPr>
                <w:spacing w:val="-3"/>
                <w:sz w:val="21"/>
              </w:rPr>
              <w:t>施</w:t>
            </w:r>
            <w:r>
              <w:rPr>
                <w:sz w:val="21"/>
              </w:rPr>
              <w:t>：</w:t>
            </w:r>
          </w:p>
          <w:p>
            <w:pPr>
              <w:pStyle w:val="TableParagraph"/>
              <w:ind w:left="0"/>
              <w:rPr>
                <w:b/>
                <w:sz w:val="20"/>
              </w:rPr>
            </w:pPr>
          </w:p>
          <w:p>
            <w:pPr>
              <w:pStyle w:val="TableParagraph"/>
              <w:ind w:left="0"/>
              <w:rPr>
                <w:b/>
                <w:sz w:val="20"/>
              </w:rPr>
            </w:pPr>
          </w:p>
          <w:p>
            <w:pPr>
              <w:pStyle w:val="TableParagraph"/>
              <w:ind w:left="0"/>
              <w:rPr>
                <w:b/>
                <w:sz w:val="20"/>
              </w:rPr>
            </w:pPr>
          </w:p>
          <w:p>
            <w:pPr>
              <w:pStyle w:val="TableParagraph"/>
              <w:ind w:left="0"/>
              <w:rPr>
                <w:b/>
                <w:sz w:val="20"/>
              </w:rPr>
            </w:pPr>
          </w:p>
          <w:p>
            <w:pPr>
              <w:pStyle w:val="TableParagraph"/>
              <w:ind w:left="0"/>
              <w:rPr>
                <w:b/>
                <w:sz w:val="20"/>
              </w:rPr>
            </w:pPr>
          </w:p>
          <w:p>
            <w:pPr>
              <w:pStyle w:val="TableParagraph"/>
              <w:ind w:left="0"/>
              <w:rPr>
                <w:b/>
                <w:sz w:val="20"/>
              </w:rPr>
            </w:pPr>
          </w:p>
          <w:p>
            <w:pPr>
              <w:pStyle w:val="TableParagraph"/>
              <w:ind w:left="0"/>
              <w:rPr>
                <w:b/>
                <w:sz w:val="20"/>
              </w:rPr>
            </w:pPr>
          </w:p>
          <w:p>
            <w:pPr>
              <w:pStyle w:val="TableParagraph"/>
              <w:ind w:left="0"/>
              <w:rPr>
                <w:b/>
                <w:sz w:val="20"/>
              </w:rPr>
            </w:pPr>
          </w:p>
          <w:p>
            <w:pPr>
              <w:pStyle w:val="TableParagraph"/>
              <w:ind w:left="0"/>
              <w:rPr>
                <w:b/>
                <w:sz w:val="20"/>
              </w:rPr>
            </w:pPr>
          </w:p>
          <w:p>
            <w:pPr>
              <w:pStyle w:val="TableParagraph"/>
              <w:ind w:left="0"/>
              <w:rPr>
                <w:b/>
                <w:sz w:val="20"/>
              </w:rPr>
            </w:pPr>
          </w:p>
          <w:p>
            <w:pPr>
              <w:pStyle w:val="TableParagraph"/>
              <w:ind w:left="0"/>
              <w:rPr>
                <w:b/>
                <w:sz w:val="20"/>
              </w:rPr>
            </w:pPr>
          </w:p>
          <w:p>
            <w:pPr>
              <w:pStyle w:val="TableParagraph"/>
              <w:ind w:left="0"/>
              <w:rPr>
                <w:b/>
                <w:sz w:val="20"/>
              </w:rPr>
            </w:pPr>
          </w:p>
          <w:p>
            <w:pPr>
              <w:pStyle w:val="TableParagraph"/>
              <w:spacing w:before="9"/>
              <w:ind w:left="0"/>
              <w:rPr>
                <w:b/>
                <w:sz w:val="15"/>
              </w:rPr>
            </w:pPr>
          </w:p>
          <w:p>
            <w:pPr>
              <w:pStyle w:val="TableParagraph"/>
              <w:ind w:left="4939"/>
              <w:rPr>
                <w:sz w:val="21"/>
              </w:rPr>
            </w:pPr>
            <w:r>
              <w:rPr>
                <w:sz w:val="21"/>
              </w:rPr>
              <w:t>流行病学调查人员签名：</w:t>
            </w:r>
          </w:p>
          <w:p>
            <w:pPr>
              <w:pStyle w:val="TableParagraph"/>
              <w:spacing w:before="6"/>
              <w:ind w:left="0"/>
              <w:rPr>
                <w:b/>
                <w:sz w:val="15"/>
              </w:rPr>
            </w:pPr>
          </w:p>
          <w:p>
            <w:pPr>
              <w:pStyle w:val="TableParagraph"/>
              <w:tabs>
                <w:tab w:pos="946" w:val="left" w:leader="none"/>
                <w:tab w:pos="1783" w:val="left" w:leader="none"/>
              </w:tabs>
              <w:ind w:left="0" w:right="422"/>
              <w:jc w:val="right"/>
              <w:rPr>
                <w:sz w:val="21"/>
              </w:rPr>
            </w:pPr>
            <w:r>
              <w:rPr>
                <w:sz w:val="21"/>
              </w:rPr>
              <w:t>年</w:t>
              <w:tab/>
              <w:t>月</w:t>
              <w:tab/>
              <w:t>日</w:t>
            </w:r>
          </w:p>
        </w:tc>
      </w:tr>
      <w:tr>
        <w:trPr>
          <w:trHeight w:val="1348" w:hRule="atLeast"/>
        </w:trPr>
        <w:tc>
          <w:tcPr>
            <w:tcW w:w="8524" w:type="dxa"/>
          </w:tcPr>
          <w:p>
            <w:pPr>
              <w:pStyle w:val="TableParagraph"/>
              <w:spacing w:before="1"/>
              <w:ind w:left="0"/>
              <w:rPr>
                <w:b/>
                <w:sz w:val="29"/>
              </w:rPr>
            </w:pPr>
          </w:p>
          <w:p>
            <w:pPr>
              <w:pStyle w:val="TableParagraph"/>
              <w:ind w:left="3893"/>
              <w:rPr>
                <w:sz w:val="21"/>
              </w:rPr>
            </w:pPr>
            <w:r>
              <w:rPr>
                <w:sz w:val="21"/>
              </w:rPr>
              <w:t>疫情发生单位负责人（个人）签名：</w:t>
            </w:r>
          </w:p>
          <w:p>
            <w:pPr>
              <w:pStyle w:val="TableParagraph"/>
              <w:ind w:left="0"/>
              <w:rPr>
                <w:b/>
                <w:sz w:val="20"/>
              </w:rPr>
            </w:pPr>
          </w:p>
          <w:p>
            <w:pPr>
              <w:pStyle w:val="TableParagraph"/>
              <w:tabs>
                <w:tab w:pos="946" w:val="left" w:leader="none"/>
                <w:tab w:pos="1783" w:val="left" w:leader="none"/>
              </w:tabs>
              <w:spacing w:before="147"/>
              <w:ind w:left="0" w:right="422"/>
              <w:jc w:val="right"/>
              <w:rPr>
                <w:sz w:val="21"/>
              </w:rPr>
            </w:pPr>
            <w:r>
              <w:rPr>
                <w:sz w:val="21"/>
              </w:rPr>
              <w:t>年</w:t>
              <w:tab/>
              <w:t>月</w:t>
              <w:tab/>
              <w:t>日</w:t>
            </w:r>
          </w:p>
        </w:tc>
      </w:tr>
    </w:tbl>
    <w:p>
      <w:pPr>
        <w:spacing w:after="0"/>
        <w:jc w:val="right"/>
        <w:rPr>
          <w:sz w:val="21"/>
        </w:rPr>
        <w:sectPr>
          <w:type w:val="continuous"/>
          <w:pgSz w:w="11910" w:h="16840"/>
          <w:pgMar w:top="1580" w:bottom="280" w:left="1580" w:right="1580"/>
        </w:sectPr>
      </w:pPr>
    </w:p>
    <w:p>
      <w:pPr>
        <w:spacing w:before="86"/>
        <w:ind w:left="220" w:right="0" w:firstLine="0"/>
        <w:jc w:val="left"/>
        <w:rPr>
          <w:rFonts w:ascii="创艺简中圆" w:eastAsia="创艺简中圆" w:hint="eastAsia"/>
          <w:sz w:val="32"/>
        </w:rPr>
      </w:pPr>
      <w:r>
        <w:rPr>
          <w:rFonts w:ascii="创艺简中圆" w:eastAsia="创艺简中圆" w:hint="eastAsia"/>
          <w:sz w:val="32"/>
        </w:rPr>
        <w:t>附 件 7</w:t>
      </w:r>
    </w:p>
    <w:p>
      <w:pPr>
        <w:pStyle w:val="BodyText"/>
        <w:rPr>
          <w:rFonts w:ascii="创艺简中圆"/>
          <w:sz w:val="20"/>
        </w:rPr>
      </w:pPr>
    </w:p>
    <w:p>
      <w:pPr>
        <w:pStyle w:val="BodyText"/>
        <w:rPr>
          <w:rFonts w:ascii="创艺简中圆"/>
          <w:sz w:val="20"/>
        </w:rPr>
      </w:pPr>
    </w:p>
    <w:p>
      <w:pPr>
        <w:pStyle w:val="BodyText"/>
        <w:spacing w:before="7"/>
        <w:rPr>
          <w:rFonts w:ascii="创艺简中圆"/>
          <w:sz w:val="16"/>
        </w:rPr>
      </w:pPr>
    </w:p>
    <w:p>
      <w:pPr>
        <w:spacing w:before="109"/>
        <w:ind w:left="2555" w:right="2555" w:firstLine="0"/>
        <w:jc w:val="center"/>
        <w:rPr>
          <w:rFonts w:ascii="创艺简中圆" w:eastAsia="创艺简中圆" w:hint="eastAsia"/>
          <w:sz w:val="36"/>
        </w:rPr>
      </w:pPr>
      <w:r>
        <w:rPr>
          <w:rFonts w:ascii="创艺简中圆" w:eastAsia="创艺简中圆" w:hint="eastAsia"/>
          <w:sz w:val="36"/>
        </w:rPr>
        <w:t>返校复课证明（式样）</w:t>
      </w:r>
    </w:p>
    <w:p>
      <w:pPr>
        <w:tabs>
          <w:tab w:pos="4065" w:val="left" w:leader="none"/>
        </w:tabs>
        <w:spacing w:before="320"/>
        <w:ind w:left="220" w:right="0" w:firstLine="0"/>
        <w:jc w:val="left"/>
        <w:rPr>
          <w:rFonts w:ascii="Times New Roman" w:eastAsia="Times New Roman"/>
          <w:sz w:val="28"/>
        </w:rPr>
      </w:pPr>
      <w:r>
        <w:rPr>
          <w:rFonts w:ascii="仿宋" w:eastAsia="仿宋" w:hint="eastAsia"/>
          <w:spacing w:val="-1"/>
          <w:sz w:val="28"/>
        </w:rPr>
        <w:t>学</w:t>
      </w:r>
      <w:r>
        <w:rPr>
          <w:rFonts w:ascii="仿宋" w:eastAsia="仿宋" w:hint="eastAsia"/>
          <w:sz w:val="28"/>
        </w:rPr>
        <w:t>校：</w:t>
      </w:r>
      <w:r>
        <w:rPr>
          <w:rFonts w:ascii="Times New Roman" w:eastAsia="Times New Roman"/>
          <w:sz w:val="28"/>
          <w:u w:val="single"/>
        </w:rPr>
        <w:t> </w:t>
        <w:tab/>
      </w:r>
    </w:p>
    <w:p>
      <w:pPr>
        <w:pStyle w:val="BodyText"/>
        <w:spacing w:before="10"/>
        <w:rPr>
          <w:rFonts w:ascii="Times New Roman"/>
          <w:sz w:val="16"/>
        </w:rPr>
      </w:pPr>
    </w:p>
    <w:p>
      <w:pPr>
        <w:tabs>
          <w:tab w:pos="2260" w:val="left" w:leader="none"/>
          <w:tab w:pos="3381" w:val="left" w:leader="none"/>
          <w:tab w:pos="5198" w:val="left" w:leader="none"/>
          <w:tab w:pos="6446" w:val="left" w:leader="none"/>
          <w:tab w:pos="7976" w:val="left" w:leader="none"/>
        </w:tabs>
        <w:spacing w:before="71"/>
        <w:ind w:left="861" w:right="0" w:firstLine="0"/>
        <w:jc w:val="left"/>
        <w:rPr>
          <w:rFonts w:ascii="仿宋" w:eastAsia="仿宋" w:hint="eastAsia"/>
          <w:sz w:val="28"/>
        </w:rPr>
      </w:pPr>
      <w:r>
        <w:rPr>
          <w:rFonts w:ascii="仿宋" w:eastAsia="仿宋" w:hint="eastAsia"/>
          <w:sz w:val="28"/>
        </w:rPr>
        <w:t>贵校</w:t>
      </w:r>
      <w:r>
        <w:rPr>
          <w:rFonts w:ascii="仿宋" w:eastAsia="仿宋" w:hint="eastAsia"/>
          <w:sz w:val="28"/>
          <w:u w:val="single"/>
        </w:rPr>
        <w:t> </w:t>
        <w:tab/>
      </w:r>
      <w:r>
        <w:rPr>
          <w:rFonts w:ascii="仿宋" w:eastAsia="仿宋" w:hint="eastAsia"/>
          <w:sz w:val="28"/>
        </w:rPr>
        <w:t>年级</w:t>
      </w:r>
      <w:r>
        <w:rPr>
          <w:rFonts w:ascii="仿宋" w:eastAsia="仿宋" w:hint="eastAsia"/>
          <w:sz w:val="28"/>
          <w:u w:val="single"/>
        </w:rPr>
        <w:t> </w:t>
        <w:tab/>
      </w:r>
      <w:r>
        <w:rPr>
          <w:rFonts w:ascii="仿宋" w:eastAsia="仿宋" w:hint="eastAsia"/>
          <w:sz w:val="28"/>
        </w:rPr>
        <w:t>班学生</w:t>
      </w:r>
      <w:r>
        <w:rPr>
          <w:rFonts w:ascii="仿宋" w:eastAsia="仿宋" w:hint="eastAsia"/>
          <w:sz w:val="28"/>
          <w:u w:val="single"/>
        </w:rPr>
        <w:t> </w:t>
        <w:tab/>
      </w:r>
      <w:r>
        <w:rPr>
          <w:rFonts w:ascii="仿宋" w:eastAsia="仿宋" w:hint="eastAsia"/>
          <w:spacing w:val="-8"/>
          <w:sz w:val="28"/>
        </w:rPr>
        <w:t>，</w:t>
      </w:r>
      <w:r>
        <w:rPr>
          <w:rFonts w:ascii="仿宋" w:eastAsia="仿宋" w:hint="eastAsia"/>
          <w:sz w:val="28"/>
        </w:rPr>
        <w:t>性别</w:t>
      </w:r>
      <w:r>
        <w:rPr>
          <w:rFonts w:ascii="仿宋" w:eastAsia="仿宋" w:hint="eastAsia"/>
          <w:sz w:val="28"/>
          <w:u w:val="single"/>
        </w:rPr>
        <w:t> </w:t>
        <w:tab/>
      </w:r>
      <w:r>
        <w:rPr>
          <w:rFonts w:ascii="仿宋" w:eastAsia="仿宋" w:hint="eastAsia"/>
          <w:spacing w:val="-5"/>
          <w:sz w:val="28"/>
        </w:rPr>
        <w:t>，</w:t>
      </w:r>
      <w:r>
        <w:rPr>
          <w:rFonts w:ascii="仿宋" w:eastAsia="仿宋" w:hint="eastAsia"/>
          <w:sz w:val="28"/>
        </w:rPr>
        <w:t>年龄</w:t>
      </w:r>
      <w:r>
        <w:rPr>
          <w:rFonts w:ascii="仿宋" w:eastAsia="仿宋" w:hint="eastAsia"/>
          <w:sz w:val="28"/>
          <w:u w:val="single"/>
        </w:rPr>
        <w:t> </w:t>
        <w:tab/>
      </w:r>
      <w:r>
        <w:rPr>
          <w:rFonts w:ascii="仿宋" w:eastAsia="仿宋" w:hint="eastAsia"/>
          <w:spacing w:val="-5"/>
          <w:sz w:val="28"/>
        </w:rPr>
        <w:t>，该</w:t>
      </w:r>
    </w:p>
    <w:p>
      <w:pPr>
        <w:pStyle w:val="BodyText"/>
        <w:spacing w:before="3"/>
        <w:rPr>
          <w:rFonts w:ascii="仿宋"/>
          <w:sz w:val="15"/>
        </w:rPr>
      </w:pPr>
    </w:p>
    <w:p>
      <w:pPr>
        <w:tabs>
          <w:tab w:pos="1480" w:val="left" w:leader="none"/>
          <w:tab w:pos="2181" w:val="left" w:leader="none"/>
          <w:tab w:pos="5774" w:val="left" w:leader="none"/>
        </w:tabs>
        <w:spacing w:before="71"/>
        <w:ind w:left="220" w:right="0" w:firstLine="0"/>
        <w:jc w:val="left"/>
        <w:rPr>
          <w:rFonts w:ascii="仿宋" w:eastAsia="仿宋" w:hint="eastAsia"/>
          <w:sz w:val="28"/>
        </w:rPr>
      </w:pPr>
      <w:r>
        <w:rPr>
          <w:rFonts w:ascii="仿宋" w:eastAsia="仿宋" w:hint="eastAsia"/>
          <w:sz w:val="28"/>
        </w:rPr>
        <w:t>学生于</w:t>
      </w:r>
      <w:r>
        <w:rPr>
          <w:rFonts w:ascii="仿宋" w:eastAsia="仿宋" w:hint="eastAsia"/>
          <w:sz w:val="28"/>
          <w:u w:val="single"/>
        </w:rPr>
        <w:t> </w:t>
        <w:tab/>
      </w:r>
      <w:r>
        <w:rPr>
          <w:rFonts w:ascii="仿宋" w:eastAsia="仿宋" w:hint="eastAsia"/>
          <w:sz w:val="28"/>
        </w:rPr>
        <w:t>月</w:t>
      </w:r>
      <w:r>
        <w:rPr>
          <w:rFonts w:ascii="仿宋" w:eastAsia="仿宋" w:hint="eastAsia"/>
          <w:sz w:val="28"/>
          <w:u w:val="single"/>
        </w:rPr>
        <w:t> </w:t>
        <w:tab/>
      </w:r>
      <w:r>
        <w:rPr>
          <w:rFonts w:ascii="仿宋" w:eastAsia="仿宋" w:hint="eastAsia"/>
          <w:spacing w:val="-3"/>
          <w:sz w:val="28"/>
        </w:rPr>
        <w:t>日</w:t>
      </w:r>
      <w:r>
        <w:rPr>
          <w:rFonts w:ascii="仿宋" w:eastAsia="仿宋" w:hint="eastAsia"/>
          <w:sz w:val="28"/>
        </w:rPr>
        <w:t>发</w:t>
      </w:r>
      <w:r>
        <w:rPr>
          <w:rFonts w:ascii="仿宋" w:eastAsia="仿宋" w:hint="eastAsia"/>
          <w:spacing w:val="-17"/>
          <w:sz w:val="28"/>
        </w:rPr>
        <w:t>病，</w:t>
      </w:r>
      <w:r>
        <w:rPr>
          <w:rFonts w:ascii="仿宋" w:eastAsia="仿宋" w:hint="eastAsia"/>
          <w:sz w:val="28"/>
        </w:rPr>
        <w:t>诊断为</w:t>
      </w:r>
      <w:r>
        <w:rPr>
          <w:rFonts w:ascii="仿宋" w:eastAsia="仿宋" w:hint="eastAsia"/>
          <w:sz w:val="28"/>
          <w:u w:val="single"/>
        </w:rPr>
        <w:t> </w:t>
        <w:tab/>
      </w:r>
      <w:r>
        <w:rPr>
          <w:rFonts w:ascii="仿宋" w:eastAsia="仿宋" w:hint="eastAsia"/>
          <w:spacing w:val="-17"/>
          <w:sz w:val="28"/>
        </w:rPr>
        <w:t>，</w:t>
      </w:r>
      <w:r>
        <w:rPr>
          <w:rFonts w:ascii="仿宋" w:eastAsia="仿宋" w:hint="eastAsia"/>
          <w:sz w:val="28"/>
        </w:rPr>
        <w:t>现症状</w:t>
      </w:r>
      <w:r>
        <w:rPr>
          <w:rFonts w:ascii="仿宋" w:eastAsia="仿宋" w:hint="eastAsia"/>
          <w:spacing w:val="-3"/>
          <w:sz w:val="28"/>
        </w:rPr>
        <w:t>已</w:t>
      </w:r>
      <w:r>
        <w:rPr>
          <w:rFonts w:ascii="仿宋" w:eastAsia="仿宋" w:hint="eastAsia"/>
          <w:sz w:val="28"/>
        </w:rPr>
        <w:t>消</w:t>
      </w:r>
      <w:r>
        <w:rPr>
          <w:rFonts w:ascii="仿宋" w:eastAsia="仿宋" w:hint="eastAsia"/>
          <w:spacing w:val="-17"/>
          <w:sz w:val="28"/>
        </w:rPr>
        <w:t>失，</w:t>
      </w:r>
      <w:r>
        <w:rPr>
          <w:rFonts w:ascii="仿宋" w:eastAsia="仿宋" w:hint="eastAsia"/>
          <w:sz w:val="28"/>
        </w:rPr>
        <w:t>隔离</w:t>
      </w:r>
    </w:p>
    <w:p>
      <w:pPr>
        <w:pStyle w:val="BodyText"/>
        <w:spacing w:before="11"/>
        <w:rPr>
          <w:rFonts w:ascii="仿宋"/>
          <w:sz w:val="15"/>
        </w:rPr>
      </w:pPr>
    </w:p>
    <w:p>
      <w:pPr>
        <w:spacing w:line="417" w:lineRule="auto" w:before="62"/>
        <w:ind w:left="861" w:right="5722" w:hanging="641"/>
        <w:jc w:val="left"/>
        <w:rPr>
          <w:rFonts w:ascii="仿宋" w:eastAsia="仿宋" w:hint="eastAsia"/>
          <w:sz w:val="28"/>
        </w:rPr>
      </w:pPr>
      <w:r>
        <w:rPr>
          <w:rFonts w:ascii="仿宋" w:eastAsia="仿宋" w:hint="eastAsia"/>
          <w:sz w:val="28"/>
        </w:rPr>
        <w:t>期满，可以返校复课。特此证明。</w:t>
      </w:r>
    </w:p>
    <w:p>
      <w:pPr>
        <w:pStyle w:val="BodyText"/>
        <w:rPr>
          <w:rFonts w:ascii="仿宋"/>
          <w:sz w:val="20"/>
        </w:rPr>
      </w:pPr>
    </w:p>
    <w:p>
      <w:pPr>
        <w:pStyle w:val="BodyText"/>
        <w:spacing w:before="2"/>
        <w:rPr>
          <w:rFonts w:ascii="仿宋"/>
          <w:sz w:val="23"/>
        </w:rPr>
      </w:pPr>
    </w:p>
    <w:p>
      <w:pPr>
        <w:tabs>
          <w:tab w:pos="8266" w:val="left" w:leader="none"/>
        </w:tabs>
        <w:spacing w:before="70"/>
        <w:ind w:left="4980" w:right="0" w:firstLine="0"/>
        <w:jc w:val="left"/>
        <w:rPr>
          <w:rFonts w:ascii="Times New Roman" w:eastAsia="Times New Roman"/>
          <w:sz w:val="28"/>
        </w:rPr>
      </w:pPr>
      <w:r>
        <w:rPr>
          <w:rFonts w:ascii="仿宋" w:eastAsia="仿宋" w:hint="eastAsia"/>
          <w:sz w:val="28"/>
        </w:rPr>
        <w:t>医疗机</w:t>
      </w:r>
      <w:r>
        <w:rPr>
          <w:rFonts w:ascii="仿宋" w:eastAsia="仿宋" w:hint="eastAsia"/>
          <w:spacing w:val="-3"/>
          <w:sz w:val="28"/>
        </w:rPr>
        <w:t>构</w:t>
      </w:r>
      <w:r>
        <w:rPr>
          <w:rFonts w:ascii="仿宋" w:eastAsia="仿宋" w:hint="eastAsia"/>
          <w:sz w:val="28"/>
        </w:rPr>
        <w:t>：</w:t>
      </w:r>
      <w:r>
        <w:rPr>
          <w:rFonts w:ascii="Times New Roman" w:eastAsia="Times New Roman"/>
          <w:sz w:val="28"/>
          <w:u w:val="single"/>
        </w:rPr>
        <w:t> </w:t>
        <w:tab/>
      </w:r>
    </w:p>
    <w:p>
      <w:pPr>
        <w:pStyle w:val="BodyText"/>
        <w:rPr>
          <w:rFonts w:ascii="Times New Roman"/>
          <w:sz w:val="17"/>
        </w:rPr>
      </w:pPr>
    </w:p>
    <w:p>
      <w:pPr>
        <w:tabs>
          <w:tab w:pos="7407" w:val="left" w:leader="none"/>
        </w:tabs>
        <w:spacing w:before="70"/>
        <w:ind w:left="5026" w:right="0" w:firstLine="0"/>
        <w:jc w:val="left"/>
        <w:rPr>
          <w:rFonts w:ascii="仿宋" w:eastAsia="仿宋" w:hint="eastAsia"/>
          <w:sz w:val="28"/>
        </w:rPr>
      </w:pPr>
      <w:r>
        <w:rPr>
          <w:rFonts w:ascii="仿宋" w:eastAsia="仿宋" w:hint="eastAsia"/>
          <w:sz w:val="28"/>
        </w:rPr>
        <w:t>医生签</w:t>
      </w:r>
      <w:r>
        <w:rPr>
          <w:rFonts w:ascii="仿宋" w:eastAsia="仿宋" w:hint="eastAsia"/>
          <w:spacing w:val="-3"/>
          <w:sz w:val="28"/>
        </w:rPr>
        <w:t>名</w:t>
      </w:r>
      <w:r>
        <w:rPr>
          <w:rFonts w:ascii="仿宋" w:eastAsia="仿宋" w:hint="eastAsia"/>
          <w:sz w:val="28"/>
        </w:rPr>
        <w:t>：</w:t>
      </w:r>
      <w:r>
        <w:rPr>
          <w:rFonts w:ascii="仿宋" w:eastAsia="仿宋" w:hint="eastAsia"/>
          <w:sz w:val="28"/>
          <w:u w:val="single"/>
        </w:rPr>
        <w:t> </w:t>
        <w:tab/>
      </w:r>
      <w:r>
        <w:rPr>
          <w:rFonts w:ascii="仿宋" w:eastAsia="仿宋" w:hint="eastAsia"/>
          <w:sz w:val="28"/>
        </w:rPr>
        <w:t>（盖章）</w:t>
      </w:r>
    </w:p>
    <w:p>
      <w:pPr>
        <w:pStyle w:val="BodyText"/>
        <w:rPr>
          <w:rFonts w:ascii="仿宋"/>
          <w:sz w:val="20"/>
        </w:rPr>
      </w:pPr>
    </w:p>
    <w:p>
      <w:pPr>
        <w:pStyle w:val="BodyText"/>
        <w:rPr>
          <w:rFonts w:ascii="仿宋"/>
          <w:sz w:val="20"/>
        </w:rPr>
      </w:pPr>
    </w:p>
    <w:p>
      <w:pPr>
        <w:pStyle w:val="BodyText"/>
        <w:spacing w:before="8"/>
        <w:rPr>
          <w:rFonts w:ascii="仿宋"/>
          <w:sz w:val="24"/>
        </w:rPr>
      </w:pPr>
    </w:p>
    <w:p>
      <w:pPr>
        <w:tabs>
          <w:tab w:pos="840" w:val="left" w:leader="none"/>
          <w:tab w:pos="1541" w:val="left" w:leader="none"/>
        </w:tabs>
        <w:spacing w:before="62"/>
        <w:ind w:left="0" w:right="216" w:firstLine="0"/>
        <w:jc w:val="right"/>
        <w:rPr>
          <w:rFonts w:ascii="仿宋" w:eastAsia="仿宋" w:hint="eastAsia"/>
          <w:sz w:val="28"/>
        </w:rPr>
      </w:pPr>
      <w:r>
        <w:rPr>
          <w:rFonts w:ascii="仿宋" w:eastAsia="仿宋" w:hint="eastAsia"/>
          <w:sz w:val="28"/>
        </w:rPr>
        <w:t>年</w:t>
        <w:tab/>
        <w:t>月</w:t>
        <w:tab/>
        <w:t>日</w:t>
      </w:r>
    </w:p>
    <w:p>
      <w:pPr>
        <w:pStyle w:val="BodyText"/>
        <w:rPr>
          <w:rFonts w:ascii="仿宋"/>
          <w:sz w:val="20"/>
        </w:rPr>
      </w:pPr>
    </w:p>
    <w:p>
      <w:pPr>
        <w:pStyle w:val="BodyText"/>
        <w:spacing w:before="3"/>
        <w:rPr>
          <w:rFonts w:ascii="仿宋"/>
          <w:sz w:val="22"/>
        </w:rPr>
      </w:pPr>
      <w:r>
        <w:rPr/>
        <w:pict>
          <v:line style="position:absolute;mso-position-horizontal-relative:page;mso-position-vertical-relative:paragraph;z-index:-251657216;mso-wrap-distance-left:0;mso-wrap-distance-right:0" from="114.019997pt,16.604971pt" to="505.409997pt,16.604971pt" stroked="true" strokeweight=".72003pt" strokecolor="#000000">
            <v:stroke dashstyle="solid"/>
            <w10:wrap type="topAndBottom"/>
          </v:line>
        </w:pict>
      </w:r>
    </w:p>
    <w:p>
      <w:pPr>
        <w:pStyle w:val="BodyText"/>
        <w:spacing w:before="5"/>
        <w:rPr>
          <w:rFonts w:ascii="仿宋"/>
          <w:sz w:val="29"/>
        </w:rPr>
      </w:pPr>
    </w:p>
    <w:p>
      <w:pPr>
        <w:spacing w:before="66"/>
        <w:ind w:left="220" w:right="0" w:firstLine="0"/>
        <w:jc w:val="left"/>
        <w:rPr>
          <w:rFonts w:ascii="仿宋" w:eastAsia="仿宋" w:hint="eastAsia"/>
          <w:sz w:val="24"/>
        </w:rPr>
      </w:pPr>
      <w:r>
        <w:rPr>
          <w:rFonts w:ascii="仿宋" w:eastAsia="仿宋" w:hint="eastAsia"/>
          <w:sz w:val="24"/>
        </w:rPr>
        <w:t>《中华人民共和国传染病防治法》</w:t>
      </w:r>
    </w:p>
    <w:p>
      <w:pPr>
        <w:tabs>
          <w:tab w:pos="2380" w:val="left" w:leader="none"/>
        </w:tabs>
        <w:spacing w:line="244" w:lineRule="auto" w:before="5"/>
        <w:ind w:left="220" w:right="99" w:firstLine="719"/>
        <w:jc w:val="left"/>
        <w:rPr>
          <w:rFonts w:ascii="仿宋" w:hAnsi="仿宋" w:eastAsia="仿宋" w:hint="eastAsia"/>
          <w:sz w:val="24"/>
        </w:rPr>
      </w:pPr>
      <w:r>
        <w:rPr>
          <w:rFonts w:ascii="仿宋" w:hAnsi="仿宋" w:eastAsia="仿宋" w:hint="eastAsia"/>
          <w:sz w:val="24"/>
        </w:rPr>
        <w:t>第六十九条</w:t>
        <w:tab/>
        <w:t>医疗机构违反本法规定</w:t>
      </w:r>
      <w:r>
        <w:rPr>
          <w:rFonts w:ascii="仿宋" w:hAnsi="仿宋" w:eastAsia="仿宋" w:hint="eastAsia"/>
          <w:spacing w:val="-48"/>
          <w:sz w:val="24"/>
        </w:rPr>
        <w:t>，</w:t>
      </w:r>
      <w:r>
        <w:rPr>
          <w:rFonts w:ascii="仿宋" w:hAnsi="仿宋" w:eastAsia="仿宋" w:hint="eastAsia"/>
          <w:sz w:val="24"/>
        </w:rPr>
        <w:t>有下列情形之一的</w:t>
      </w:r>
      <w:r>
        <w:rPr>
          <w:rFonts w:ascii="仿宋" w:hAnsi="仿宋" w:eastAsia="仿宋" w:hint="eastAsia"/>
          <w:spacing w:val="-48"/>
          <w:sz w:val="24"/>
        </w:rPr>
        <w:t>，</w:t>
      </w:r>
      <w:r>
        <w:rPr>
          <w:rFonts w:ascii="仿宋" w:hAnsi="仿宋" w:eastAsia="仿宋" w:hint="eastAsia"/>
          <w:sz w:val="24"/>
        </w:rPr>
        <w:t>由县级以上人民政府卫生行政部门责令改正</w:t>
      </w:r>
      <w:r>
        <w:rPr>
          <w:rFonts w:ascii="仿宋" w:hAnsi="仿宋" w:eastAsia="仿宋" w:hint="eastAsia"/>
          <w:spacing w:val="-24"/>
          <w:sz w:val="24"/>
        </w:rPr>
        <w:t>，</w:t>
      </w:r>
      <w:r>
        <w:rPr>
          <w:rFonts w:ascii="仿宋" w:hAnsi="仿宋" w:eastAsia="仿宋" w:hint="eastAsia"/>
          <w:sz w:val="24"/>
        </w:rPr>
        <w:t>通报批评</w:t>
      </w:r>
      <w:r>
        <w:rPr>
          <w:rFonts w:ascii="仿宋" w:hAnsi="仿宋" w:eastAsia="仿宋" w:hint="eastAsia"/>
          <w:spacing w:val="-24"/>
          <w:sz w:val="24"/>
        </w:rPr>
        <w:t>，</w:t>
      </w:r>
      <w:r>
        <w:rPr>
          <w:rFonts w:ascii="仿宋" w:hAnsi="仿宋" w:eastAsia="仿宋" w:hint="eastAsia"/>
          <w:sz w:val="24"/>
        </w:rPr>
        <w:t>给予警告</w:t>
      </w:r>
      <w:r>
        <w:rPr>
          <w:rFonts w:ascii="仿宋" w:hAnsi="仿宋" w:eastAsia="仿宋" w:hint="eastAsia"/>
          <w:spacing w:val="-24"/>
          <w:sz w:val="24"/>
        </w:rPr>
        <w:t>；</w:t>
      </w:r>
      <w:r>
        <w:rPr>
          <w:rFonts w:ascii="仿宋" w:hAnsi="仿宋" w:eastAsia="仿宋" w:hint="eastAsia"/>
          <w:sz w:val="24"/>
        </w:rPr>
        <w:t>造成传染病传播</w:t>
      </w:r>
      <w:r>
        <w:rPr>
          <w:rFonts w:ascii="仿宋" w:hAnsi="仿宋" w:eastAsia="仿宋" w:hint="eastAsia"/>
          <w:spacing w:val="-24"/>
          <w:sz w:val="24"/>
        </w:rPr>
        <w:t>、</w:t>
      </w:r>
      <w:r>
        <w:rPr>
          <w:rFonts w:ascii="仿宋" w:hAnsi="仿宋" w:eastAsia="仿宋" w:hint="eastAsia"/>
          <w:sz w:val="24"/>
        </w:rPr>
        <w:t>流行或者其他严重后果的</w:t>
      </w:r>
      <w:r>
        <w:rPr>
          <w:rFonts w:ascii="仿宋" w:hAnsi="仿宋" w:eastAsia="仿宋" w:hint="eastAsia"/>
          <w:spacing w:val="-108"/>
          <w:sz w:val="24"/>
        </w:rPr>
        <w:t>，</w:t>
      </w:r>
      <w:r>
        <w:rPr>
          <w:rFonts w:ascii="仿宋" w:hAnsi="仿宋" w:eastAsia="仿宋" w:hint="eastAsia"/>
          <w:sz w:val="24"/>
        </w:rPr>
        <w:t>对负有责任的主管人员和其他直接责任人员</w:t>
      </w:r>
      <w:r>
        <w:rPr>
          <w:rFonts w:ascii="仿宋" w:hAnsi="仿宋" w:eastAsia="仿宋" w:hint="eastAsia"/>
          <w:spacing w:val="-108"/>
          <w:sz w:val="24"/>
        </w:rPr>
        <w:t>，</w:t>
      </w:r>
      <w:r>
        <w:rPr>
          <w:rFonts w:ascii="仿宋" w:hAnsi="仿宋" w:eastAsia="仿宋" w:hint="eastAsia"/>
          <w:sz w:val="24"/>
        </w:rPr>
        <w:t>依法给予降级</w:t>
      </w:r>
      <w:r>
        <w:rPr>
          <w:rFonts w:ascii="仿宋" w:hAnsi="仿宋" w:eastAsia="仿宋" w:hint="eastAsia"/>
          <w:spacing w:val="-17"/>
          <w:sz w:val="24"/>
        </w:rPr>
        <w:t>、</w:t>
      </w:r>
      <w:r>
        <w:rPr>
          <w:rFonts w:ascii="仿宋" w:hAnsi="仿宋" w:eastAsia="仿宋" w:hint="eastAsia"/>
          <w:sz w:val="24"/>
        </w:rPr>
        <w:t>撤职</w:t>
      </w:r>
      <w:r>
        <w:rPr>
          <w:rFonts w:ascii="仿宋" w:hAnsi="仿宋" w:eastAsia="仿宋" w:hint="eastAsia"/>
          <w:spacing w:val="-24"/>
          <w:sz w:val="24"/>
        </w:rPr>
        <w:t>、</w:t>
      </w:r>
      <w:r>
        <w:rPr>
          <w:rFonts w:ascii="仿宋" w:hAnsi="仿宋" w:eastAsia="仿宋" w:hint="eastAsia"/>
          <w:sz w:val="24"/>
        </w:rPr>
        <w:t>开除的处分</w:t>
      </w:r>
      <w:r>
        <w:rPr>
          <w:rFonts w:ascii="仿宋" w:hAnsi="仿宋" w:eastAsia="仿宋" w:hint="eastAsia"/>
          <w:spacing w:val="-24"/>
          <w:sz w:val="24"/>
        </w:rPr>
        <w:t>，</w:t>
      </w:r>
      <w:r>
        <w:rPr>
          <w:rFonts w:ascii="仿宋" w:hAnsi="仿宋" w:eastAsia="仿宋" w:hint="eastAsia"/>
          <w:sz w:val="24"/>
        </w:rPr>
        <w:t>并可以依法吊销有关责任人员的执业证书</w:t>
      </w:r>
      <w:r>
        <w:rPr>
          <w:rFonts w:ascii="仿宋" w:hAnsi="仿宋" w:eastAsia="仿宋" w:hint="eastAsia"/>
          <w:spacing w:val="-24"/>
          <w:sz w:val="24"/>
        </w:rPr>
        <w:t>；</w:t>
      </w:r>
      <w:r>
        <w:rPr>
          <w:rFonts w:ascii="仿宋" w:hAnsi="仿宋" w:eastAsia="仿宋" w:hint="eastAsia"/>
          <w:sz w:val="24"/>
        </w:rPr>
        <w:t>构成犯罪的</w:t>
      </w:r>
      <w:r>
        <w:rPr>
          <w:rFonts w:ascii="仿宋" w:hAnsi="仿宋" w:eastAsia="仿宋" w:hint="eastAsia"/>
          <w:spacing w:val="-24"/>
          <w:sz w:val="24"/>
        </w:rPr>
        <w:t>，</w:t>
      </w:r>
      <w:r>
        <w:rPr>
          <w:rFonts w:ascii="仿宋" w:hAnsi="仿宋" w:eastAsia="仿宋" w:hint="eastAsia"/>
          <w:sz w:val="24"/>
        </w:rPr>
        <w:t>依法追究刑事责任：……</w:t>
      </w:r>
    </w:p>
    <w:p>
      <w:pPr>
        <w:tabs>
          <w:tab w:pos="2380" w:val="left" w:leader="none"/>
        </w:tabs>
        <w:spacing w:line="242" w:lineRule="auto" w:before="0"/>
        <w:ind w:left="220" w:right="218" w:firstLine="719"/>
        <w:jc w:val="left"/>
        <w:rPr>
          <w:rFonts w:ascii="仿宋" w:eastAsia="仿宋" w:hint="eastAsia"/>
          <w:sz w:val="24"/>
        </w:rPr>
      </w:pPr>
      <w:r>
        <w:rPr>
          <w:rFonts w:ascii="仿宋" w:eastAsia="仿宋" w:hint="eastAsia"/>
          <w:sz w:val="24"/>
        </w:rPr>
        <w:t>第七十七条</w:t>
        <w:tab/>
        <w:t>单位和个人违反本法规定</w:t>
      </w:r>
      <w:r>
        <w:rPr>
          <w:rFonts w:ascii="仿宋" w:eastAsia="仿宋" w:hint="eastAsia"/>
          <w:spacing w:val="-32"/>
          <w:sz w:val="24"/>
        </w:rPr>
        <w:t>，</w:t>
      </w:r>
      <w:r>
        <w:rPr>
          <w:rFonts w:ascii="仿宋" w:eastAsia="仿宋" w:hint="eastAsia"/>
          <w:sz w:val="24"/>
        </w:rPr>
        <w:t>导致传染病传播</w:t>
      </w:r>
      <w:r>
        <w:rPr>
          <w:rFonts w:ascii="仿宋" w:eastAsia="仿宋" w:hint="eastAsia"/>
          <w:spacing w:val="-32"/>
          <w:sz w:val="24"/>
        </w:rPr>
        <w:t>、</w:t>
      </w:r>
      <w:r>
        <w:rPr>
          <w:rFonts w:ascii="仿宋" w:eastAsia="仿宋" w:hint="eastAsia"/>
          <w:sz w:val="24"/>
        </w:rPr>
        <w:t>流行</w:t>
      </w:r>
      <w:r>
        <w:rPr>
          <w:rFonts w:ascii="仿宋" w:eastAsia="仿宋" w:hint="eastAsia"/>
          <w:spacing w:val="-32"/>
          <w:sz w:val="24"/>
        </w:rPr>
        <w:t>，</w:t>
      </w:r>
      <w:r>
        <w:rPr>
          <w:rFonts w:ascii="仿宋" w:eastAsia="仿宋" w:hint="eastAsia"/>
          <w:sz w:val="24"/>
        </w:rPr>
        <w:t>给他</w:t>
      </w:r>
      <w:r>
        <w:rPr>
          <w:rFonts w:ascii="仿宋" w:eastAsia="仿宋" w:hint="eastAsia"/>
          <w:spacing w:val="-16"/>
          <w:sz w:val="24"/>
        </w:rPr>
        <w:t>人</w:t>
      </w:r>
      <w:r>
        <w:rPr>
          <w:rFonts w:ascii="仿宋" w:eastAsia="仿宋" w:hint="eastAsia"/>
          <w:sz w:val="24"/>
        </w:rPr>
        <w:t>人身、财产造成损害的，应当依法承担民事责任。</w:t>
      </w:r>
    </w:p>
    <w:p>
      <w:pPr>
        <w:spacing w:after="0" w:line="242" w:lineRule="auto"/>
        <w:jc w:val="left"/>
        <w:rPr>
          <w:rFonts w:ascii="仿宋" w:eastAsia="仿宋" w:hint="eastAsia"/>
          <w:sz w:val="24"/>
        </w:rPr>
        <w:sectPr>
          <w:pgSz w:w="11910" w:h="16840"/>
          <w:pgMar w:top="1440" w:bottom="280" w:left="1580" w:right="1580"/>
        </w:sectPr>
      </w:pPr>
    </w:p>
    <w:p>
      <w:pPr>
        <w:spacing w:before="95"/>
        <w:ind w:left="2555" w:right="2555" w:firstLine="0"/>
        <w:jc w:val="center"/>
        <w:rPr>
          <w:rFonts w:ascii="创艺简中圆" w:eastAsia="创艺简中圆" w:hint="eastAsia"/>
          <w:sz w:val="36"/>
        </w:rPr>
      </w:pPr>
      <w:r>
        <w:rPr>
          <w:rFonts w:ascii="创艺简中圆" w:eastAsia="创艺简中圆" w:hint="eastAsia"/>
          <w:sz w:val="36"/>
        </w:rPr>
        <w:t>返校复工证明（式样）</w:t>
      </w:r>
    </w:p>
    <w:p>
      <w:pPr>
        <w:tabs>
          <w:tab w:pos="4065" w:val="left" w:leader="none"/>
        </w:tabs>
        <w:spacing w:before="320"/>
        <w:ind w:left="220" w:right="0" w:firstLine="0"/>
        <w:jc w:val="left"/>
        <w:rPr>
          <w:rFonts w:ascii="Times New Roman" w:eastAsia="Times New Roman"/>
          <w:sz w:val="28"/>
        </w:rPr>
      </w:pPr>
      <w:r>
        <w:rPr>
          <w:rFonts w:ascii="仿宋" w:eastAsia="仿宋" w:hint="eastAsia"/>
          <w:spacing w:val="-1"/>
          <w:sz w:val="28"/>
        </w:rPr>
        <w:t>学</w:t>
      </w:r>
      <w:r>
        <w:rPr>
          <w:rFonts w:ascii="仿宋" w:eastAsia="仿宋" w:hint="eastAsia"/>
          <w:sz w:val="28"/>
        </w:rPr>
        <w:t>校：</w:t>
      </w:r>
      <w:r>
        <w:rPr>
          <w:rFonts w:ascii="Times New Roman" w:eastAsia="Times New Roman"/>
          <w:sz w:val="28"/>
          <w:u w:val="single"/>
        </w:rPr>
        <w:t> </w:t>
        <w:tab/>
      </w:r>
    </w:p>
    <w:p>
      <w:pPr>
        <w:pStyle w:val="BodyText"/>
        <w:spacing w:before="10"/>
        <w:rPr>
          <w:rFonts w:ascii="Times New Roman"/>
          <w:sz w:val="16"/>
        </w:rPr>
      </w:pPr>
    </w:p>
    <w:p>
      <w:pPr>
        <w:tabs>
          <w:tab w:pos="2961" w:val="left" w:leader="none"/>
          <w:tab w:pos="4221" w:val="left" w:leader="none"/>
          <w:tab w:pos="5762" w:val="left" w:leader="none"/>
          <w:tab w:pos="6744" w:val="left" w:leader="none"/>
          <w:tab w:pos="7443" w:val="left" w:leader="none"/>
        </w:tabs>
        <w:spacing w:before="71"/>
        <w:ind w:left="861" w:right="0" w:firstLine="0"/>
        <w:jc w:val="left"/>
        <w:rPr>
          <w:rFonts w:ascii="仿宋" w:eastAsia="仿宋" w:hint="eastAsia"/>
          <w:sz w:val="28"/>
        </w:rPr>
      </w:pPr>
      <w:r>
        <w:rPr>
          <w:rFonts w:ascii="仿宋" w:eastAsia="仿宋" w:hint="eastAsia"/>
          <w:sz w:val="28"/>
        </w:rPr>
        <w:t>贵校员工</w:t>
      </w:r>
      <w:r>
        <w:rPr>
          <w:rFonts w:ascii="仿宋" w:eastAsia="仿宋" w:hint="eastAsia"/>
          <w:sz w:val="28"/>
          <w:u w:val="single"/>
        </w:rPr>
        <w:t> </w:t>
        <w:tab/>
      </w:r>
      <w:r>
        <w:rPr>
          <w:rFonts w:ascii="仿宋" w:eastAsia="仿宋" w:hint="eastAsia"/>
          <w:sz w:val="28"/>
        </w:rPr>
        <w:t>，性别</w:t>
      </w:r>
      <w:r>
        <w:rPr>
          <w:rFonts w:ascii="仿宋" w:eastAsia="仿宋" w:hint="eastAsia"/>
          <w:sz w:val="28"/>
          <w:u w:val="single"/>
        </w:rPr>
        <w:t> </w:t>
        <w:tab/>
      </w:r>
      <w:r>
        <w:rPr>
          <w:rFonts w:ascii="仿宋" w:eastAsia="仿宋" w:hint="eastAsia"/>
          <w:sz w:val="28"/>
        </w:rPr>
        <w:t>，年龄</w:t>
      </w:r>
      <w:r>
        <w:rPr>
          <w:rFonts w:ascii="仿宋" w:eastAsia="仿宋" w:hint="eastAsia"/>
          <w:sz w:val="28"/>
          <w:u w:val="single"/>
        </w:rPr>
        <w:t> </w:t>
        <w:tab/>
      </w:r>
      <w:r>
        <w:rPr>
          <w:rFonts w:ascii="仿宋" w:eastAsia="仿宋" w:hint="eastAsia"/>
          <w:sz w:val="28"/>
        </w:rPr>
        <w:t>，于</w:t>
      </w:r>
      <w:r>
        <w:rPr>
          <w:rFonts w:ascii="仿宋" w:eastAsia="仿宋" w:hint="eastAsia"/>
          <w:sz w:val="28"/>
          <w:u w:val="single"/>
        </w:rPr>
        <w:t> </w:t>
        <w:tab/>
      </w:r>
      <w:r>
        <w:rPr>
          <w:rFonts w:ascii="仿宋" w:eastAsia="仿宋" w:hint="eastAsia"/>
          <w:sz w:val="28"/>
        </w:rPr>
        <w:t>月</w:t>
      </w:r>
      <w:r>
        <w:rPr>
          <w:rFonts w:ascii="仿宋" w:eastAsia="仿宋" w:hint="eastAsia"/>
          <w:sz w:val="28"/>
          <w:u w:val="single"/>
        </w:rPr>
        <w:t> </w:t>
        <w:tab/>
      </w:r>
      <w:r>
        <w:rPr>
          <w:rFonts w:ascii="仿宋" w:eastAsia="仿宋" w:hint="eastAsia"/>
          <w:sz w:val="28"/>
        </w:rPr>
        <w:t>日发病，</w:t>
      </w:r>
    </w:p>
    <w:p>
      <w:pPr>
        <w:pStyle w:val="BodyText"/>
        <w:spacing w:before="3"/>
        <w:rPr>
          <w:rFonts w:ascii="仿宋"/>
          <w:sz w:val="15"/>
        </w:rPr>
      </w:pPr>
    </w:p>
    <w:p>
      <w:pPr>
        <w:tabs>
          <w:tab w:pos="2740" w:val="left" w:leader="none"/>
        </w:tabs>
        <w:spacing w:before="70"/>
        <w:ind w:left="220" w:right="0" w:firstLine="0"/>
        <w:jc w:val="left"/>
        <w:rPr>
          <w:rFonts w:ascii="仿宋" w:eastAsia="仿宋" w:hint="eastAsia"/>
          <w:sz w:val="28"/>
        </w:rPr>
      </w:pPr>
      <w:r>
        <w:rPr>
          <w:rFonts w:ascii="仿宋" w:eastAsia="仿宋" w:hint="eastAsia"/>
          <w:sz w:val="28"/>
        </w:rPr>
        <w:t>诊断为</w:t>
      </w:r>
      <w:r>
        <w:rPr>
          <w:rFonts w:ascii="仿宋" w:eastAsia="仿宋" w:hint="eastAsia"/>
          <w:sz w:val="28"/>
          <w:u w:val="single"/>
        </w:rPr>
        <w:t> </w:t>
        <w:tab/>
      </w:r>
      <w:r>
        <w:rPr>
          <w:rFonts w:ascii="仿宋" w:eastAsia="仿宋" w:hint="eastAsia"/>
          <w:sz w:val="28"/>
        </w:rPr>
        <w:t>，现症状</w:t>
      </w:r>
      <w:r>
        <w:rPr>
          <w:rFonts w:ascii="仿宋" w:eastAsia="仿宋" w:hint="eastAsia"/>
          <w:spacing w:val="-3"/>
          <w:sz w:val="28"/>
        </w:rPr>
        <w:t>已</w:t>
      </w:r>
      <w:r>
        <w:rPr>
          <w:rFonts w:ascii="仿宋" w:eastAsia="仿宋" w:hint="eastAsia"/>
          <w:sz w:val="28"/>
        </w:rPr>
        <w:t>消失</w:t>
      </w:r>
      <w:r>
        <w:rPr>
          <w:rFonts w:ascii="仿宋" w:eastAsia="仿宋" w:hint="eastAsia"/>
          <w:spacing w:val="-3"/>
          <w:sz w:val="28"/>
        </w:rPr>
        <w:t>，</w:t>
      </w:r>
      <w:r>
        <w:rPr>
          <w:rFonts w:ascii="仿宋" w:eastAsia="仿宋" w:hint="eastAsia"/>
          <w:sz w:val="28"/>
        </w:rPr>
        <w:t>隔离期</w:t>
      </w:r>
      <w:r>
        <w:rPr>
          <w:rFonts w:ascii="仿宋" w:eastAsia="仿宋" w:hint="eastAsia"/>
          <w:spacing w:val="-3"/>
          <w:sz w:val="28"/>
        </w:rPr>
        <w:t>满</w:t>
      </w:r>
      <w:r>
        <w:rPr>
          <w:rFonts w:ascii="仿宋" w:eastAsia="仿宋" w:hint="eastAsia"/>
          <w:sz w:val="28"/>
        </w:rPr>
        <w:t>，可</w:t>
      </w:r>
      <w:r>
        <w:rPr>
          <w:rFonts w:ascii="仿宋" w:eastAsia="仿宋" w:hint="eastAsia"/>
          <w:spacing w:val="-3"/>
          <w:sz w:val="28"/>
        </w:rPr>
        <w:t>以返</w:t>
      </w:r>
      <w:r>
        <w:rPr>
          <w:rFonts w:ascii="仿宋" w:eastAsia="仿宋" w:hint="eastAsia"/>
          <w:sz w:val="28"/>
        </w:rPr>
        <w:t>校复工。</w:t>
      </w:r>
    </w:p>
    <w:p>
      <w:pPr>
        <w:pStyle w:val="BodyText"/>
        <w:spacing w:before="12"/>
        <w:rPr>
          <w:rFonts w:ascii="仿宋"/>
          <w:sz w:val="15"/>
        </w:rPr>
      </w:pPr>
    </w:p>
    <w:p>
      <w:pPr>
        <w:spacing w:before="61"/>
        <w:ind w:left="861" w:right="0" w:firstLine="0"/>
        <w:jc w:val="left"/>
        <w:rPr>
          <w:rFonts w:ascii="仿宋" w:eastAsia="仿宋" w:hint="eastAsia"/>
          <w:sz w:val="28"/>
        </w:rPr>
      </w:pPr>
      <w:r>
        <w:rPr>
          <w:rFonts w:ascii="仿宋" w:eastAsia="仿宋" w:hint="eastAsia"/>
          <w:sz w:val="28"/>
        </w:rPr>
        <w:t>特此证明。</w:t>
      </w:r>
    </w:p>
    <w:p>
      <w:pPr>
        <w:pStyle w:val="BodyText"/>
        <w:rPr>
          <w:rFonts w:ascii="仿宋"/>
          <w:sz w:val="20"/>
        </w:rPr>
      </w:pPr>
    </w:p>
    <w:p>
      <w:pPr>
        <w:pStyle w:val="BodyText"/>
        <w:rPr>
          <w:rFonts w:ascii="仿宋"/>
          <w:sz w:val="20"/>
        </w:rPr>
      </w:pPr>
    </w:p>
    <w:p>
      <w:pPr>
        <w:pStyle w:val="BodyText"/>
        <w:spacing w:before="12"/>
        <w:rPr>
          <w:rFonts w:ascii="仿宋"/>
          <w:sz w:val="23"/>
        </w:rPr>
      </w:pPr>
    </w:p>
    <w:p>
      <w:pPr>
        <w:tabs>
          <w:tab w:pos="8266" w:val="left" w:leader="none"/>
        </w:tabs>
        <w:spacing w:before="71"/>
        <w:ind w:left="4980" w:right="0" w:firstLine="0"/>
        <w:jc w:val="left"/>
        <w:rPr>
          <w:rFonts w:ascii="Times New Roman" w:eastAsia="Times New Roman"/>
          <w:sz w:val="28"/>
        </w:rPr>
      </w:pPr>
      <w:r>
        <w:rPr>
          <w:rFonts w:ascii="仿宋" w:eastAsia="仿宋" w:hint="eastAsia"/>
          <w:sz w:val="28"/>
        </w:rPr>
        <w:t>医疗机</w:t>
      </w:r>
      <w:r>
        <w:rPr>
          <w:rFonts w:ascii="仿宋" w:eastAsia="仿宋" w:hint="eastAsia"/>
          <w:spacing w:val="-3"/>
          <w:sz w:val="28"/>
        </w:rPr>
        <w:t>构</w:t>
      </w:r>
      <w:r>
        <w:rPr>
          <w:rFonts w:ascii="仿宋" w:eastAsia="仿宋" w:hint="eastAsia"/>
          <w:sz w:val="28"/>
        </w:rPr>
        <w:t>：</w:t>
      </w:r>
      <w:r>
        <w:rPr>
          <w:rFonts w:ascii="Times New Roman" w:eastAsia="Times New Roman"/>
          <w:sz w:val="28"/>
          <w:u w:val="single"/>
        </w:rPr>
        <w:t> </w:t>
        <w:tab/>
      </w:r>
    </w:p>
    <w:p>
      <w:pPr>
        <w:pStyle w:val="BodyText"/>
        <w:spacing w:before="11"/>
        <w:rPr>
          <w:rFonts w:ascii="Times New Roman"/>
          <w:sz w:val="16"/>
        </w:rPr>
      </w:pPr>
    </w:p>
    <w:p>
      <w:pPr>
        <w:tabs>
          <w:tab w:pos="7407" w:val="left" w:leader="none"/>
        </w:tabs>
        <w:spacing w:before="70"/>
        <w:ind w:left="5026" w:right="0" w:firstLine="0"/>
        <w:jc w:val="left"/>
        <w:rPr>
          <w:rFonts w:ascii="仿宋" w:eastAsia="仿宋" w:hint="eastAsia"/>
          <w:sz w:val="28"/>
        </w:rPr>
      </w:pPr>
      <w:r>
        <w:rPr>
          <w:rFonts w:ascii="仿宋" w:eastAsia="仿宋" w:hint="eastAsia"/>
          <w:sz w:val="28"/>
        </w:rPr>
        <w:t>医生签</w:t>
      </w:r>
      <w:r>
        <w:rPr>
          <w:rFonts w:ascii="仿宋" w:eastAsia="仿宋" w:hint="eastAsia"/>
          <w:spacing w:val="-3"/>
          <w:sz w:val="28"/>
        </w:rPr>
        <w:t>名</w:t>
      </w:r>
      <w:r>
        <w:rPr>
          <w:rFonts w:ascii="仿宋" w:eastAsia="仿宋" w:hint="eastAsia"/>
          <w:sz w:val="28"/>
        </w:rPr>
        <w:t>：</w:t>
      </w:r>
      <w:r>
        <w:rPr>
          <w:rFonts w:ascii="仿宋" w:eastAsia="仿宋" w:hint="eastAsia"/>
          <w:sz w:val="28"/>
          <w:u w:val="single"/>
        </w:rPr>
        <w:t> </w:t>
        <w:tab/>
      </w:r>
      <w:r>
        <w:rPr>
          <w:rFonts w:ascii="仿宋" w:eastAsia="仿宋" w:hint="eastAsia"/>
          <w:sz w:val="28"/>
        </w:rPr>
        <w:t>（盖章）</w:t>
      </w:r>
    </w:p>
    <w:p>
      <w:pPr>
        <w:pStyle w:val="BodyText"/>
        <w:rPr>
          <w:rFonts w:ascii="仿宋"/>
          <w:sz w:val="20"/>
        </w:rPr>
      </w:pPr>
    </w:p>
    <w:p>
      <w:pPr>
        <w:pStyle w:val="BodyText"/>
        <w:rPr>
          <w:rFonts w:ascii="仿宋"/>
          <w:sz w:val="20"/>
        </w:rPr>
      </w:pPr>
    </w:p>
    <w:p>
      <w:pPr>
        <w:pStyle w:val="BodyText"/>
        <w:spacing w:before="8"/>
        <w:rPr>
          <w:rFonts w:ascii="仿宋"/>
          <w:sz w:val="24"/>
        </w:rPr>
      </w:pPr>
    </w:p>
    <w:p>
      <w:pPr>
        <w:tabs>
          <w:tab w:pos="840" w:val="left" w:leader="none"/>
          <w:tab w:pos="1541" w:val="left" w:leader="none"/>
        </w:tabs>
        <w:spacing w:before="61"/>
        <w:ind w:left="0" w:right="216" w:firstLine="0"/>
        <w:jc w:val="right"/>
        <w:rPr>
          <w:rFonts w:ascii="仿宋" w:eastAsia="仿宋" w:hint="eastAsia"/>
          <w:sz w:val="28"/>
        </w:rPr>
      </w:pPr>
      <w:r>
        <w:rPr>
          <w:rFonts w:ascii="仿宋" w:eastAsia="仿宋" w:hint="eastAsia"/>
          <w:sz w:val="28"/>
        </w:rPr>
        <w:t>年</w:t>
        <w:tab/>
        <w:t>月</w:t>
        <w:tab/>
        <w:t>日</w:t>
      </w:r>
    </w:p>
    <w:p>
      <w:pPr>
        <w:pStyle w:val="BodyText"/>
        <w:rPr>
          <w:rFonts w:ascii="仿宋"/>
          <w:sz w:val="20"/>
        </w:rPr>
      </w:pPr>
    </w:p>
    <w:p>
      <w:pPr>
        <w:pStyle w:val="BodyText"/>
        <w:spacing w:before="3"/>
        <w:rPr>
          <w:rFonts w:ascii="仿宋"/>
          <w:sz w:val="22"/>
        </w:rPr>
      </w:pPr>
      <w:r>
        <w:rPr/>
        <w:pict>
          <v:line style="position:absolute;mso-position-horizontal-relative:page;mso-position-vertical-relative:paragraph;z-index:-251656192;mso-wrap-distance-left:0;mso-wrap-distance-right:0" from="114.019997pt,16.634438pt" to="505.409997pt,16.634438pt" stroked="true" strokeweight=".72pt" strokecolor="#000000">
            <v:stroke dashstyle="solid"/>
            <w10:wrap type="topAndBottom"/>
          </v:line>
        </w:pict>
      </w:r>
    </w:p>
    <w:p>
      <w:pPr>
        <w:pStyle w:val="BodyText"/>
        <w:spacing w:before="5"/>
        <w:rPr>
          <w:rFonts w:ascii="仿宋"/>
          <w:sz w:val="29"/>
        </w:rPr>
      </w:pPr>
    </w:p>
    <w:p>
      <w:pPr>
        <w:spacing w:before="67"/>
        <w:ind w:left="220" w:right="0" w:firstLine="0"/>
        <w:jc w:val="left"/>
        <w:rPr>
          <w:rFonts w:ascii="仿宋" w:eastAsia="仿宋" w:hint="eastAsia"/>
          <w:sz w:val="24"/>
        </w:rPr>
      </w:pPr>
      <w:r>
        <w:rPr>
          <w:rFonts w:ascii="仿宋" w:eastAsia="仿宋" w:hint="eastAsia"/>
          <w:sz w:val="24"/>
        </w:rPr>
        <w:t>《中华人民共和国传染病防治法》</w:t>
      </w:r>
    </w:p>
    <w:p>
      <w:pPr>
        <w:tabs>
          <w:tab w:pos="2380" w:val="left" w:leader="none"/>
        </w:tabs>
        <w:spacing w:line="242" w:lineRule="auto" w:before="4"/>
        <w:ind w:left="220" w:right="99" w:firstLine="719"/>
        <w:jc w:val="left"/>
        <w:rPr>
          <w:rFonts w:ascii="仿宋" w:hAnsi="仿宋" w:eastAsia="仿宋" w:hint="eastAsia"/>
          <w:sz w:val="24"/>
        </w:rPr>
      </w:pPr>
      <w:r>
        <w:rPr>
          <w:rFonts w:ascii="仿宋" w:hAnsi="仿宋" w:eastAsia="仿宋" w:hint="eastAsia"/>
          <w:sz w:val="24"/>
        </w:rPr>
        <w:t>第六十九条</w:t>
        <w:tab/>
        <w:t>医疗机构违反本法规定</w:t>
      </w:r>
      <w:r>
        <w:rPr>
          <w:rFonts w:ascii="仿宋" w:hAnsi="仿宋" w:eastAsia="仿宋" w:hint="eastAsia"/>
          <w:spacing w:val="-48"/>
          <w:sz w:val="24"/>
        </w:rPr>
        <w:t>，</w:t>
      </w:r>
      <w:r>
        <w:rPr>
          <w:rFonts w:ascii="仿宋" w:hAnsi="仿宋" w:eastAsia="仿宋" w:hint="eastAsia"/>
          <w:sz w:val="24"/>
        </w:rPr>
        <w:t>有下列情形之一的</w:t>
      </w:r>
      <w:r>
        <w:rPr>
          <w:rFonts w:ascii="仿宋" w:hAnsi="仿宋" w:eastAsia="仿宋" w:hint="eastAsia"/>
          <w:spacing w:val="-48"/>
          <w:sz w:val="24"/>
        </w:rPr>
        <w:t>，</w:t>
      </w:r>
      <w:r>
        <w:rPr>
          <w:rFonts w:ascii="仿宋" w:hAnsi="仿宋" w:eastAsia="仿宋" w:hint="eastAsia"/>
          <w:sz w:val="24"/>
        </w:rPr>
        <w:t>由县级以上人民政府卫生行政部门责令改正</w:t>
      </w:r>
      <w:r>
        <w:rPr>
          <w:rFonts w:ascii="仿宋" w:hAnsi="仿宋" w:eastAsia="仿宋" w:hint="eastAsia"/>
          <w:spacing w:val="-24"/>
          <w:sz w:val="24"/>
        </w:rPr>
        <w:t>，</w:t>
      </w:r>
      <w:r>
        <w:rPr>
          <w:rFonts w:ascii="仿宋" w:hAnsi="仿宋" w:eastAsia="仿宋" w:hint="eastAsia"/>
          <w:sz w:val="24"/>
        </w:rPr>
        <w:t>通报批评</w:t>
      </w:r>
      <w:r>
        <w:rPr>
          <w:rFonts w:ascii="仿宋" w:hAnsi="仿宋" w:eastAsia="仿宋" w:hint="eastAsia"/>
          <w:spacing w:val="-24"/>
          <w:sz w:val="24"/>
        </w:rPr>
        <w:t>，</w:t>
      </w:r>
      <w:r>
        <w:rPr>
          <w:rFonts w:ascii="仿宋" w:hAnsi="仿宋" w:eastAsia="仿宋" w:hint="eastAsia"/>
          <w:sz w:val="24"/>
        </w:rPr>
        <w:t>给予警告</w:t>
      </w:r>
      <w:r>
        <w:rPr>
          <w:rFonts w:ascii="仿宋" w:hAnsi="仿宋" w:eastAsia="仿宋" w:hint="eastAsia"/>
          <w:spacing w:val="-24"/>
          <w:sz w:val="24"/>
        </w:rPr>
        <w:t>；</w:t>
      </w:r>
      <w:r>
        <w:rPr>
          <w:rFonts w:ascii="仿宋" w:hAnsi="仿宋" w:eastAsia="仿宋" w:hint="eastAsia"/>
          <w:sz w:val="24"/>
        </w:rPr>
        <w:t>造成传染病传播</w:t>
      </w:r>
      <w:r>
        <w:rPr>
          <w:rFonts w:ascii="仿宋" w:hAnsi="仿宋" w:eastAsia="仿宋" w:hint="eastAsia"/>
          <w:spacing w:val="-24"/>
          <w:sz w:val="24"/>
        </w:rPr>
        <w:t>、</w:t>
      </w:r>
      <w:r>
        <w:rPr>
          <w:rFonts w:ascii="仿宋" w:hAnsi="仿宋" w:eastAsia="仿宋" w:hint="eastAsia"/>
          <w:sz w:val="24"/>
        </w:rPr>
        <w:t>流行或者其他严重后果的</w:t>
      </w:r>
      <w:r>
        <w:rPr>
          <w:rFonts w:ascii="仿宋" w:hAnsi="仿宋" w:eastAsia="仿宋" w:hint="eastAsia"/>
          <w:spacing w:val="-108"/>
          <w:sz w:val="24"/>
        </w:rPr>
        <w:t>，</w:t>
      </w:r>
      <w:r>
        <w:rPr>
          <w:rFonts w:ascii="仿宋" w:hAnsi="仿宋" w:eastAsia="仿宋" w:hint="eastAsia"/>
          <w:sz w:val="24"/>
        </w:rPr>
        <w:t>对负有责任的主管人员和其他直接责任人员</w:t>
      </w:r>
      <w:r>
        <w:rPr>
          <w:rFonts w:ascii="仿宋" w:hAnsi="仿宋" w:eastAsia="仿宋" w:hint="eastAsia"/>
          <w:spacing w:val="-108"/>
          <w:sz w:val="24"/>
        </w:rPr>
        <w:t>，</w:t>
      </w:r>
      <w:r>
        <w:rPr>
          <w:rFonts w:ascii="仿宋" w:hAnsi="仿宋" w:eastAsia="仿宋" w:hint="eastAsia"/>
          <w:sz w:val="24"/>
        </w:rPr>
        <w:t>依法给予降级</w:t>
      </w:r>
      <w:r>
        <w:rPr>
          <w:rFonts w:ascii="仿宋" w:hAnsi="仿宋" w:eastAsia="仿宋" w:hint="eastAsia"/>
          <w:spacing w:val="-17"/>
          <w:sz w:val="24"/>
        </w:rPr>
        <w:t>、</w:t>
      </w:r>
      <w:r>
        <w:rPr>
          <w:rFonts w:ascii="仿宋" w:hAnsi="仿宋" w:eastAsia="仿宋" w:hint="eastAsia"/>
          <w:sz w:val="24"/>
        </w:rPr>
        <w:t>撤职</w:t>
      </w:r>
      <w:r>
        <w:rPr>
          <w:rFonts w:ascii="仿宋" w:hAnsi="仿宋" w:eastAsia="仿宋" w:hint="eastAsia"/>
          <w:spacing w:val="-24"/>
          <w:sz w:val="24"/>
        </w:rPr>
        <w:t>、</w:t>
      </w:r>
      <w:r>
        <w:rPr>
          <w:rFonts w:ascii="仿宋" w:hAnsi="仿宋" w:eastAsia="仿宋" w:hint="eastAsia"/>
          <w:sz w:val="24"/>
        </w:rPr>
        <w:t>开除的处分</w:t>
      </w:r>
      <w:r>
        <w:rPr>
          <w:rFonts w:ascii="仿宋" w:hAnsi="仿宋" w:eastAsia="仿宋" w:hint="eastAsia"/>
          <w:spacing w:val="-24"/>
          <w:sz w:val="24"/>
        </w:rPr>
        <w:t>，</w:t>
      </w:r>
      <w:r>
        <w:rPr>
          <w:rFonts w:ascii="仿宋" w:hAnsi="仿宋" w:eastAsia="仿宋" w:hint="eastAsia"/>
          <w:sz w:val="24"/>
        </w:rPr>
        <w:t>并可以依法吊销有关责任人员的执业证书</w:t>
      </w:r>
      <w:r>
        <w:rPr>
          <w:rFonts w:ascii="仿宋" w:hAnsi="仿宋" w:eastAsia="仿宋" w:hint="eastAsia"/>
          <w:spacing w:val="-24"/>
          <w:sz w:val="24"/>
        </w:rPr>
        <w:t>；</w:t>
      </w:r>
      <w:r>
        <w:rPr>
          <w:rFonts w:ascii="仿宋" w:hAnsi="仿宋" w:eastAsia="仿宋" w:hint="eastAsia"/>
          <w:sz w:val="24"/>
        </w:rPr>
        <w:t>构成犯罪的</w:t>
      </w:r>
      <w:r>
        <w:rPr>
          <w:rFonts w:ascii="仿宋" w:hAnsi="仿宋" w:eastAsia="仿宋" w:hint="eastAsia"/>
          <w:spacing w:val="-24"/>
          <w:sz w:val="24"/>
        </w:rPr>
        <w:t>，</w:t>
      </w:r>
      <w:r>
        <w:rPr>
          <w:rFonts w:ascii="仿宋" w:hAnsi="仿宋" w:eastAsia="仿宋" w:hint="eastAsia"/>
          <w:sz w:val="24"/>
        </w:rPr>
        <w:t>依法追究刑事责任：……</w:t>
      </w:r>
    </w:p>
    <w:p>
      <w:pPr>
        <w:tabs>
          <w:tab w:pos="2380" w:val="left" w:leader="none"/>
        </w:tabs>
        <w:spacing w:line="242" w:lineRule="auto" w:before="7"/>
        <w:ind w:left="220" w:right="218" w:firstLine="719"/>
        <w:jc w:val="left"/>
        <w:rPr>
          <w:rFonts w:ascii="仿宋" w:eastAsia="仿宋" w:hint="eastAsia"/>
          <w:sz w:val="24"/>
        </w:rPr>
      </w:pPr>
      <w:r>
        <w:rPr>
          <w:rFonts w:ascii="仿宋" w:eastAsia="仿宋" w:hint="eastAsia"/>
          <w:sz w:val="24"/>
        </w:rPr>
        <w:t>第七十七条</w:t>
        <w:tab/>
        <w:t>单位和个人违反本法规定</w:t>
      </w:r>
      <w:r>
        <w:rPr>
          <w:rFonts w:ascii="仿宋" w:eastAsia="仿宋" w:hint="eastAsia"/>
          <w:spacing w:val="-32"/>
          <w:sz w:val="24"/>
        </w:rPr>
        <w:t>，</w:t>
      </w:r>
      <w:r>
        <w:rPr>
          <w:rFonts w:ascii="仿宋" w:eastAsia="仿宋" w:hint="eastAsia"/>
          <w:sz w:val="24"/>
        </w:rPr>
        <w:t>导致传染病传播</w:t>
      </w:r>
      <w:r>
        <w:rPr>
          <w:rFonts w:ascii="仿宋" w:eastAsia="仿宋" w:hint="eastAsia"/>
          <w:spacing w:val="-32"/>
          <w:sz w:val="24"/>
        </w:rPr>
        <w:t>、</w:t>
      </w:r>
      <w:r>
        <w:rPr>
          <w:rFonts w:ascii="仿宋" w:eastAsia="仿宋" w:hint="eastAsia"/>
          <w:sz w:val="24"/>
        </w:rPr>
        <w:t>流行</w:t>
      </w:r>
      <w:r>
        <w:rPr>
          <w:rFonts w:ascii="仿宋" w:eastAsia="仿宋" w:hint="eastAsia"/>
          <w:spacing w:val="-32"/>
          <w:sz w:val="24"/>
        </w:rPr>
        <w:t>，</w:t>
      </w:r>
      <w:r>
        <w:rPr>
          <w:rFonts w:ascii="仿宋" w:eastAsia="仿宋" w:hint="eastAsia"/>
          <w:sz w:val="24"/>
        </w:rPr>
        <w:t>给他</w:t>
      </w:r>
      <w:r>
        <w:rPr>
          <w:rFonts w:ascii="仿宋" w:eastAsia="仿宋" w:hint="eastAsia"/>
          <w:spacing w:val="-16"/>
          <w:sz w:val="24"/>
        </w:rPr>
        <w:t>人</w:t>
      </w:r>
      <w:r>
        <w:rPr>
          <w:rFonts w:ascii="仿宋" w:eastAsia="仿宋" w:hint="eastAsia"/>
          <w:sz w:val="24"/>
        </w:rPr>
        <w:t>人身、财产造成损害的，应当依法承担民事责任。</w:t>
      </w:r>
    </w:p>
    <w:p>
      <w:pPr>
        <w:spacing w:after="0" w:line="242" w:lineRule="auto"/>
        <w:jc w:val="left"/>
        <w:rPr>
          <w:rFonts w:ascii="仿宋" w:eastAsia="仿宋" w:hint="eastAsia"/>
          <w:sz w:val="24"/>
        </w:rPr>
        <w:sectPr>
          <w:pgSz w:w="11910" w:h="16840"/>
          <w:pgMar w:top="1560" w:bottom="280" w:left="1580" w:right="1580"/>
        </w:sectPr>
      </w:pPr>
    </w:p>
    <w:p>
      <w:pPr>
        <w:spacing w:before="86"/>
        <w:ind w:left="220" w:right="0" w:firstLine="0"/>
        <w:jc w:val="left"/>
        <w:rPr>
          <w:rFonts w:ascii="创艺简中圆" w:eastAsia="创艺简中圆" w:hint="eastAsia"/>
          <w:sz w:val="32"/>
        </w:rPr>
      </w:pPr>
      <w:r>
        <w:rPr>
          <w:rFonts w:ascii="创艺简中圆" w:eastAsia="创艺简中圆" w:hint="eastAsia"/>
          <w:sz w:val="32"/>
        </w:rPr>
        <w:t>附 件 8</w:t>
      </w:r>
    </w:p>
    <w:p>
      <w:pPr>
        <w:pStyle w:val="BodyText"/>
        <w:rPr>
          <w:rFonts w:ascii="创艺简中圆"/>
          <w:sz w:val="24"/>
        </w:rPr>
      </w:pPr>
      <w:r>
        <w:rPr/>
        <w:br w:type="column"/>
      </w:r>
      <w:r>
        <w:rPr>
          <w:rFonts w:ascii="创艺简中圆"/>
          <w:sz w:val="24"/>
        </w:rPr>
      </w:r>
    </w:p>
    <w:p>
      <w:pPr>
        <w:pStyle w:val="BodyText"/>
        <w:spacing w:before="11"/>
        <w:rPr>
          <w:rFonts w:ascii="创艺简中圆"/>
          <w:sz w:val="23"/>
        </w:rPr>
      </w:pPr>
    </w:p>
    <w:p>
      <w:pPr>
        <w:spacing w:before="0"/>
        <w:ind w:left="220" w:right="0" w:firstLine="0"/>
        <w:jc w:val="left"/>
        <w:rPr>
          <w:b/>
          <w:sz w:val="24"/>
        </w:rPr>
      </w:pPr>
      <w:r>
        <w:rPr>
          <w:b/>
          <w:sz w:val="24"/>
        </w:rPr>
        <w:t>学校及托幼机构常见传染病暴发疫情班级停课标准建议</w:t>
      </w:r>
    </w:p>
    <w:p>
      <w:pPr>
        <w:spacing w:after="0"/>
        <w:jc w:val="left"/>
        <w:rPr>
          <w:sz w:val="24"/>
        </w:rPr>
        <w:sectPr>
          <w:pgSz w:w="11910" w:h="16840"/>
          <w:pgMar w:top="1440" w:bottom="280" w:left="1580" w:right="1580"/>
          <w:cols w:num="2" w:equalWidth="0">
            <w:col w:w="1238" w:space="77"/>
            <w:col w:w="7435"/>
          </w:cols>
        </w:sectPr>
      </w:pPr>
    </w:p>
    <w:p>
      <w:pPr>
        <w:pStyle w:val="BodyText"/>
        <w:spacing w:before="7"/>
        <w:rPr>
          <w:b/>
          <w:sz w:val="8"/>
        </w:rPr>
      </w:pPr>
    </w:p>
    <w:p>
      <w:pPr>
        <w:pStyle w:val="BodyText"/>
        <w:spacing w:line="417" w:lineRule="auto" w:before="72"/>
        <w:ind w:left="220" w:right="211" w:firstLine="429"/>
      </w:pPr>
      <w:r>
        <w:rPr>
          <w:spacing w:val="-10"/>
        </w:rPr>
        <w:t>当出现以下情形之一时，可建议受影响学校或托幼机构采取班级停课措施，避免疫情的</w:t>
      </w:r>
      <w:r>
        <w:rPr>
          <w:spacing w:val="-5"/>
        </w:rPr>
        <w:t>进一步扩散：</w:t>
      </w:r>
    </w:p>
    <w:p>
      <w:pPr>
        <w:pStyle w:val="ListParagraph"/>
        <w:numPr>
          <w:ilvl w:val="1"/>
          <w:numId w:val="12"/>
        </w:numPr>
        <w:tabs>
          <w:tab w:pos="967" w:val="left" w:leader="none"/>
        </w:tabs>
        <w:spacing w:line="269" w:lineRule="exact" w:before="0" w:after="0"/>
        <w:ind w:left="966" w:right="0" w:hanging="317"/>
        <w:jc w:val="left"/>
        <w:rPr>
          <w:sz w:val="21"/>
        </w:rPr>
      </w:pPr>
      <w:r>
        <w:rPr>
          <w:spacing w:val="-3"/>
          <w:sz w:val="21"/>
        </w:rPr>
        <w:t>下表中所包含的班级停课标准。</w:t>
      </w:r>
    </w:p>
    <w:p>
      <w:pPr>
        <w:pStyle w:val="BodyText"/>
        <w:spacing w:before="6"/>
        <w:rPr>
          <w:sz w:val="15"/>
        </w:rPr>
      </w:pPr>
    </w:p>
    <w:p>
      <w:pPr>
        <w:pStyle w:val="ListParagraph"/>
        <w:numPr>
          <w:ilvl w:val="1"/>
          <w:numId w:val="12"/>
        </w:numPr>
        <w:tabs>
          <w:tab w:pos="967" w:val="left" w:leader="none"/>
        </w:tabs>
        <w:spacing w:line="417" w:lineRule="auto" w:before="1" w:after="0"/>
        <w:ind w:left="220" w:right="213" w:firstLine="429"/>
        <w:jc w:val="left"/>
        <w:rPr>
          <w:sz w:val="21"/>
        </w:rPr>
      </w:pPr>
      <w:r>
        <w:rPr>
          <w:spacing w:val="-1"/>
          <w:sz w:val="21"/>
        </w:rPr>
        <w:t>累计报告病例数虽未达到受影响人群的 </w:t>
      </w:r>
      <w:r>
        <w:rPr>
          <w:sz w:val="21"/>
        </w:rPr>
        <w:t>30</w:t>
      </w:r>
      <w:r>
        <w:rPr>
          <w:spacing w:val="-3"/>
          <w:sz w:val="21"/>
        </w:rPr>
        <w:t>%或以上，但采取疫情防控措施后疫情未得到有效控制的。</w:t>
      </w:r>
    </w:p>
    <w:p>
      <w:pPr>
        <w:pStyle w:val="ListParagraph"/>
        <w:numPr>
          <w:ilvl w:val="1"/>
          <w:numId w:val="12"/>
        </w:numPr>
        <w:tabs>
          <w:tab w:pos="967" w:val="left" w:leader="none"/>
        </w:tabs>
        <w:spacing w:line="240" w:lineRule="auto" w:before="0" w:after="0"/>
        <w:ind w:left="966" w:right="0" w:hanging="317"/>
        <w:jc w:val="left"/>
        <w:rPr>
          <w:sz w:val="21"/>
        </w:rPr>
      </w:pPr>
      <w:r>
        <w:rPr>
          <w:spacing w:val="-3"/>
          <w:sz w:val="21"/>
        </w:rPr>
        <w:t>经卫生行政部门和教育行政部门风险评估后，共同判定需要采取停课措施的。</w:t>
      </w:r>
    </w:p>
    <w:p>
      <w:pPr>
        <w:pStyle w:val="BodyText"/>
        <w:spacing w:before="6"/>
        <w:rPr>
          <w:sz w:val="15"/>
        </w:rPr>
      </w:pPr>
    </w:p>
    <w:p>
      <w:pPr>
        <w:pStyle w:val="BodyText"/>
        <w:spacing w:line="417" w:lineRule="auto" w:before="1"/>
        <w:ind w:left="220" w:right="211" w:firstLine="429"/>
        <w:jc w:val="both"/>
      </w:pPr>
      <w:r>
        <w:rPr/>
        <w:t>4</w:t>
      </w:r>
      <w:r>
        <w:rPr>
          <w:spacing w:val="-3"/>
        </w:rPr>
        <w:t>、麻疹、风疹、水痘、流行性腮腺炎等潜伏期较长且疫苗效果较好的疾病，建议密切</w:t>
      </w:r>
      <w:r>
        <w:rPr>
          <w:spacing w:val="-9"/>
        </w:rPr>
        <w:t>接触者尽快接种相应疫苗，根据疫情进展和疫苗接种情况等进行风险评估，决定是否缩短停</w:t>
      </w:r>
      <w:r>
        <w:rPr>
          <w:spacing w:val="-5"/>
        </w:rPr>
        <w:t>课时间或取消停课。</w:t>
      </w:r>
    </w:p>
    <w:p>
      <w:pPr>
        <w:pStyle w:val="BodyText"/>
        <w:spacing w:line="417" w:lineRule="auto"/>
        <w:ind w:left="220" w:right="120" w:firstLine="429"/>
      </w:pPr>
      <w:r>
        <w:rPr/>
        <w:pict>
          <v:shapetype id="_x0000_t202" o:spt="202" coordsize="21600,21600" path="m,l,21600r21600,l21600,xe">
            <v:stroke joinstyle="miter"/>
            <v:path gradientshapeok="t" o:connecttype="rect"/>
          </v:shapetype>
          <v:shape style="position:absolute;margin-left:91.823997pt;margin-top:41.819992pt;width:411.95pt;height:332.35pt;mso-position-horizontal-relative:page;mso-position-vertical-relative:paragraph;z-index:251661312" type="#_x0000_t202" filled="false" stroked="false">
            <v:textbox inset="0,0,0,0">
              <w:txbxContent>
                <w:tbl>
                  <w:tblPr>
                    <w:tblW w:w="0" w:type="auto"/>
                    <w:jc w:val="left"/>
                    <w:tblInd w:w="7" w:type="dxa"/>
                    <w:tblBorders>
                      <w:top w:val="single" w:sz="4" w:space="0" w:color="C8C8C8"/>
                      <w:left w:val="single" w:sz="4" w:space="0" w:color="C8C8C8"/>
                      <w:bottom w:val="single" w:sz="4" w:space="0" w:color="C8C8C8"/>
                      <w:right w:val="single" w:sz="4" w:space="0" w:color="C8C8C8"/>
                      <w:insideH w:val="single" w:sz="4" w:space="0" w:color="C8C8C8"/>
                      <w:insideV w:val="single" w:sz="4" w:space="0" w:color="C8C8C8"/>
                    </w:tblBorders>
                    <w:tblLayout w:type="fixed"/>
                    <w:tblCellMar>
                      <w:top w:w="0" w:type="dxa"/>
                      <w:left w:w="0" w:type="dxa"/>
                      <w:bottom w:w="0" w:type="dxa"/>
                      <w:right w:w="0" w:type="dxa"/>
                    </w:tblCellMar>
                    <w:tblLook w:val="01E0"/>
                  </w:tblPr>
                  <w:tblGrid>
                    <w:gridCol w:w="1397"/>
                    <w:gridCol w:w="3774"/>
                    <w:gridCol w:w="2019"/>
                    <w:gridCol w:w="1034"/>
                  </w:tblGrid>
                  <w:tr>
                    <w:trPr>
                      <w:trHeight w:val="254" w:hRule="atLeast"/>
                    </w:trPr>
                    <w:tc>
                      <w:tcPr>
                        <w:tcW w:w="1397" w:type="dxa"/>
                        <w:tcBorders>
                          <w:top w:val="nil"/>
                          <w:left w:val="nil"/>
                          <w:bottom w:val="nil"/>
                          <w:right w:val="nil"/>
                        </w:tcBorders>
                        <w:shd w:val="clear" w:color="auto" w:fill="A4A4A4"/>
                      </w:tcPr>
                      <w:p>
                        <w:pPr>
                          <w:pStyle w:val="TableParagraph"/>
                          <w:spacing w:line="225" w:lineRule="exact" w:before="9"/>
                          <w:ind w:left="502" w:right="493"/>
                          <w:jc w:val="center"/>
                          <w:rPr>
                            <w:b/>
                            <w:sz w:val="18"/>
                          </w:rPr>
                        </w:pPr>
                        <w:r>
                          <w:rPr>
                            <w:b/>
                            <w:color w:val="FFFFFF"/>
                            <w:sz w:val="18"/>
                          </w:rPr>
                          <w:t>病种</w:t>
                        </w:r>
                      </w:p>
                    </w:tc>
                    <w:tc>
                      <w:tcPr>
                        <w:tcW w:w="3774" w:type="dxa"/>
                        <w:tcBorders>
                          <w:top w:val="nil"/>
                          <w:left w:val="nil"/>
                          <w:bottom w:val="nil"/>
                          <w:right w:val="nil"/>
                        </w:tcBorders>
                        <w:shd w:val="clear" w:color="auto" w:fill="A4A4A4"/>
                      </w:tcPr>
                      <w:p>
                        <w:pPr>
                          <w:pStyle w:val="TableParagraph"/>
                          <w:spacing w:line="225" w:lineRule="exact" w:before="9"/>
                          <w:ind w:left="1328" w:right="1320"/>
                          <w:jc w:val="center"/>
                          <w:rPr>
                            <w:b/>
                            <w:sz w:val="18"/>
                          </w:rPr>
                        </w:pPr>
                        <w:r>
                          <w:rPr>
                            <w:b/>
                            <w:color w:val="FFFFFF"/>
                            <w:sz w:val="18"/>
                          </w:rPr>
                          <w:t>班级停课标准</w:t>
                        </w:r>
                      </w:p>
                    </w:tc>
                    <w:tc>
                      <w:tcPr>
                        <w:tcW w:w="2019" w:type="dxa"/>
                        <w:tcBorders>
                          <w:top w:val="nil"/>
                          <w:left w:val="nil"/>
                          <w:bottom w:val="nil"/>
                          <w:right w:val="nil"/>
                        </w:tcBorders>
                        <w:shd w:val="clear" w:color="auto" w:fill="A4A4A4"/>
                      </w:tcPr>
                      <w:p>
                        <w:pPr>
                          <w:pStyle w:val="TableParagraph"/>
                          <w:spacing w:line="225" w:lineRule="exact" w:before="9"/>
                          <w:ind w:left="720" w:right="715"/>
                          <w:jc w:val="center"/>
                          <w:rPr>
                            <w:b/>
                            <w:sz w:val="18"/>
                          </w:rPr>
                        </w:pPr>
                        <w:r>
                          <w:rPr>
                            <w:b/>
                            <w:color w:val="FFFFFF"/>
                            <w:sz w:val="18"/>
                          </w:rPr>
                          <w:t>潜伏期</w:t>
                        </w:r>
                      </w:p>
                    </w:tc>
                    <w:tc>
                      <w:tcPr>
                        <w:tcW w:w="1034" w:type="dxa"/>
                        <w:tcBorders>
                          <w:top w:val="nil"/>
                          <w:left w:val="nil"/>
                          <w:bottom w:val="nil"/>
                          <w:right w:val="nil"/>
                        </w:tcBorders>
                        <w:shd w:val="clear" w:color="auto" w:fill="A4A4A4"/>
                      </w:tcPr>
                      <w:p>
                        <w:pPr>
                          <w:pStyle w:val="TableParagraph"/>
                          <w:spacing w:line="225" w:lineRule="exact" w:before="9"/>
                          <w:ind w:left="114"/>
                          <w:rPr>
                            <w:b/>
                            <w:sz w:val="18"/>
                          </w:rPr>
                        </w:pPr>
                        <w:r>
                          <w:rPr>
                            <w:b/>
                            <w:color w:val="FFFFFF"/>
                            <w:sz w:val="18"/>
                          </w:rPr>
                          <w:t>停课时间*</w:t>
                        </w:r>
                      </w:p>
                    </w:tc>
                  </w:tr>
                  <w:tr>
                    <w:trPr>
                      <w:trHeight w:val="1166" w:hRule="atLeast"/>
                    </w:trPr>
                    <w:tc>
                      <w:tcPr>
                        <w:tcW w:w="1397" w:type="dxa"/>
                        <w:tcBorders>
                          <w:top w:val="nil"/>
                        </w:tcBorders>
                        <w:shd w:val="clear" w:color="auto" w:fill="ECECEC"/>
                      </w:tcPr>
                      <w:p>
                        <w:pPr>
                          <w:pStyle w:val="TableParagraph"/>
                          <w:ind w:left="0"/>
                          <w:rPr>
                            <w:sz w:val="18"/>
                          </w:rPr>
                        </w:pPr>
                      </w:p>
                      <w:p>
                        <w:pPr>
                          <w:pStyle w:val="TableParagraph"/>
                          <w:spacing w:before="4"/>
                          <w:ind w:left="0"/>
                          <w:rPr>
                            <w:sz w:val="18"/>
                          </w:rPr>
                        </w:pPr>
                      </w:p>
                      <w:p>
                        <w:pPr>
                          <w:pStyle w:val="TableParagraph"/>
                          <w:ind w:left="135" w:right="126"/>
                          <w:jc w:val="center"/>
                          <w:rPr>
                            <w:b/>
                            <w:sz w:val="18"/>
                          </w:rPr>
                        </w:pPr>
                        <w:r>
                          <w:rPr>
                            <w:b/>
                            <w:sz w:val="18"/>
                          </w:rPr>
                          <w:t>流感</w:t>
                        </w:r>
                      </w:p>
                    </w:tc>
                    <w:tc>
                      <w:tcPr>
                        <w:tcW w:w="3774" w:type="dxa"/>
                        <w:tcBorders>
                          <w:top w:val="nil"/>
                        </w:tcBorders>
                        <w:shd w:val="clear" w:color="auto" w:fill="ECECEC"/>
                      </w:tcPr>
                      <w:p>
                        <w:pPr>
                          <w:pStyle w:val="TableParagraph"/>
                          <w:numPr>
                            <w:ilvl w:val="0"/>
                            <w:numId w:val="18"/>
                          </w:numPr>
                          <w:tabs>
                            <w:tab w:pos="560" w:val="left" w:leader="none"/>
                          </w:tabs>
                          <w:spacing w:line="242" w:lineRule="auto" w:before="0" w:after="0"/>
                          <w:ind w:left="107" w:right="91" w:firstLine="0"/>
                          <w:jc w:val="left"/>
                          <w:rPr>
                            <w:sz w:val="18"/>
                          </w:rPr>
                        </w:pPr>
                        <w:r>
                          <w:rPr>
                            <w:spacing w:val="-3"/>
                            <w:sz w:val="18"/>
                          </w:rPr>
                          <w:t>该班级当天新发现流感样病例达 </w:t>
                        </w:r>
                        <w:r>
                          <w:rPr>
                            <w:sz w:val="18"/>
                          </w:rPr>
                          <w:t>5</w:t>
                        </w:r>
                        <w:r>
                          <w:rPr>
                            <w:spacing w:val="-5"/>
                            <w:sz w:val="18"/>
                          </w:rPr>
                          <w:t> 例及</w:t>
                        </w:r>
                        <w:r>
                          <w:rPr>
                            <w:sz w:val="18"/>
                          </w:rPr>
                          <w:t>以上；</w:t>
                        </w:r>
                      </w:p>
                      <w:p>
                        <w:pPr>
                          <w:pStyle w:val="TableParagraph"/>
                          <w:numPr>
                            <w:ilvl w:val="0"/>
                            <w:numId w:val="18"/>
                          </w:numPr>
                          <w:tabs>
                            <w:tab w:pos="560" w:val="left" w:leader="none"/>
                          </w:tabs>
                          <w:spacing w:line="230" w:lineRule="exact" w:before="0" w:after="0"/>
                          <w:ind w:left="559" w:right="0" w:hanging="453"/>
                          <w:jc w:val="left"/>
                          <w:rPr>
                            <w:sz w:val="18"/>
                          </w:rPr>
                        </w:pPr>
                        <w:r>
                          <w:rPr>
                            <w:spacing w:val="-4"/>
                            <w:sz w:val="18"/>
                          </w:rPr>
                          <w:t>该班级现症流感样病例达 </w:t>
                        </w:r>
                        <w:r>
                          <w:rPr>
                            <w:sz w:val="18"/>
                          </w:rPr>
                          <w:t>30%及以上；</w:t>
                        </w:r>
                      </w:p>
                      <w:p>
                        <w:pPr>
                          <w:pStyle w:val="TableParagraph"/>
                          <w:numPr>
                            <w:ilvl w:val="0"/>
                            <w:numId w:val="18"/>
                          </w:numPr>
                          <w:tabs>
                            <w:tab w:pos="560" w:val="left" w:leader="none"/>
                          </w:tabs>
                          <w:spacing w:line="240" w:lineRule="auto" w:before="2" w:after="0"/>
                          <w:ind w:left="559" w:right="0" w:hanging="453"/>
                          <w:jc w:val="left"/>
                          <w:rPr>
                            <w:sz w:val="18"/>
                          </w:rPr>
                        </w:pPr>
                        <w:r>
                          <w:rPr>
                            <w:spacing w:val="-8"/>
                            <w:sz w:val="18"/>
                          </w:rPr>
                          <w:t>一周内发生 </w:t>
                        </w:r>
                        <w:r>
                          <w:rPr>
                            <w:sz w:val="18"/>
                          </w:rPr>
                          <w:t>2</w:t>
                        </w:r>
                        <w:r>
                          <w:rPr>
                            <w:spacing w:val="-1"/>
                            <w:sz w:val="18"/>
                          </w:rPr>
                          <w:t> 例及以上实验室确诊流感</w:t>
                        </w:r>
                      </w:p>
                      <w:p>
                        <w:pPr>
                          <w:pStyle w:val="TableParagraph"/>
                          <w:spacing w:line="213" w:lineRule="exact" w:before="5"/>
                          <w:rPr>
                            <w:sz w:val="18"/>
                          </w:rPr>
                        </w:pPr>
                        <w:r>
                          <w:rPr>
                            <w:sz w:val="18"/>
                          </w:rPr>
                          <w:t>住院或死亡病例（不包括门诊留观病例</w:t>
                        </w:r>
                        <w:r>
                          <w:rPr>
                            <w:spacing w:val="-92"/>
                            <w:sz w:val="18"/>
                          </w:rPr>
                          <w:t>）</w:t>
                        </w:r>
                        <w:r>
                          <w:rPr>
                            <w:sz w:val="18"/>
                          </w:rPr>
                          <w:t>。</w:t>
                        </w:r>
                      </w:p>
                    </w:tc>
                    <w:tc>
                      <w:tcPr>
                        <w:tcW w:w="2019" w:type="dxa"/>
                        <w:tcBorders>
                          <w:top w:val="nil"/>
                        </w:tcBorders>
                        <w:shd w:val="clear" w:color="auto" w:fill="ECECEC"/>
                      </w:tcPr>
                      <w:p>
                        <w:pPr>
                          <w:pStyle w:val="TableParagraph"/>
                          <w:ind w:left="0"/>
                          <w:rPr>
                            <w:sz w:val="18"/>
                          </w:rPr>
                        </w:pPr>
                      </w:p>
                      <w:p>
                        <w:pPr>
                          <w:pStyle w:val="TableParagraph"/>
                          <w:spacing w:before="4"/>
                          <w:ind w:left="0"/>
                          <w:rPr>
                            <w:sz w:val="18"/>
                          </w:rPr>
                        </w:pPr>
                      </w:p>
                      <w:p>
                        <w:pPr>
                          <w:pStyle w:val="TableParagraph"/>
                          <w:ind w:left="198"/>
                          <w:rPr>
                            <w:sz w:val="18"/>
                          </w:rPr>
                        </w:pPr>
                        <w:r>
                          <w:rPr>
                            <w:spacing w:val="1"/>
                            <w:sz w:val="18"/>
                          </w:rPr>
                          <w:t>1</w:t>
                        </w:r>
                        <w:r>
                          <w:rPr>
                            <w:spacing w:val="-2"/>
                            <w:sz w:val="18"/>
                          </w:rPr>
                          <w:t>-</w:t>
                        </w:r>
                        <w:r>
                          <w:rPr>
                            <w:sz w:val="18"/>
                          </w:rPr>
                          <w:t>4</w:t>
                        </w:r>
                        <w:r>
                          <w:rPr>
                            <w:spacing w:val="1"/>
                            <w:sz w:val="18"/>
                          </w:rPr>
                          <w:t> 天</w:t>
                        </w:r>
                        <w:r>
                          <w:rPr>
                            <w:sz w:val="18"/>
                          </w:rPr>
                          <w:t>（</w:t>
                        </w:r>
                        <w:r>
                          <w:rPr>
                            <w:spacing w:val="-1"/>
                            <w:sz w:val="18"/>
                          </w:rPr>
                          <w:t>平均 </w:t>
                        </w:r>
                        <w:r>
                          <w:rPr>
                            <w:sz w:val="18"/>
                          </w:rPr>
                          <w:t>2 天</w:t>
                        </w:r>
                        <w:r>
                          <w:rPr>
                            <w:spacing w:val="-92"/>
                            <w:sz w:val="18"/>
                          </w:rPr>
                          <w:t>）</w:t>
                        </w:r>
                        <w:r>
                          <w:rPr>
                            <w:sz w:val="18"/>
                          </w:rPr>
                          <w:t>，</w:t>
                        </w:r>
                      </w:p>
                    </w:tc>
                    <w:tc>
                      <w:tcPr>
                        <w:tcW w:w="1034" w:type="dxa"/>
                        <w:tcBorders>
                          <w:top w:val="nil"/>
                        </w:tcBorders>
                        <w:shd w:val="clear" w:color="auto" w:fill="ECECEC"/>
                      </w:tcPr>
                      <w:p>
                        <w:pPr>
                          <w:pStyle w:val="TableParagraph"/>
                          <w:ind w:left="0"/>
                          <w:rPr>
                            <w:sz w:val="18"/>
                          </w:rPr>
                        </w:pPr>
                      </w:p>
                      <w:p>
                        <w:pPr>
                          <w:pStyle w:val="TableParagraph"/>
                          <w:spacing w:before="4"/>
                          <w:ind w:left="0"/>
                          <w:rPr>
                            <w:sz w:val="18"/>
                          </w:rPr>
                        </w:pPr>
                      </w:p>
                      <w:p>
                        <w:pPr>
                          <w:pStyle w:val="TableParagraph"/>
                          <w:rPr>
                            <w:sz w:val="18"/>
                          </w:rPr>
                        </w:pPr>
                        <w:r>
                          <w:rPr>
                            <w:sz w:val="18"/>
                          </w:rPr>
                          <w:t>4 天</w:t>
                        </w:r>
                      </w:p>
                    </w:tc>
                  </w:tr>
                  <w:tr>
                    <w:trPr>
                      <w:trHeight w:val="467" w:hRule="atLeast"/>
                    </w:trPr>
                    <w:tc>
                      <w:tcPr>
                        <w:tcW w:w="1397" w:type="dxa"/>
                      </w:tcPr>
                      <w:p>
                        <w:pPr>
                          <w:pStyle w:val="TableParagraph"/>
                          <w:spacing w:before="117"/>
                          <w:ind w:left="135" w:right="127"/>
                          <w:jc w:val="center"/>
                          <w:rPr>
                            <w:b/>
                            <w:sz w:val="18"/>
                          </w:rPr>
                        </w:pPr>
                        <w:r>
                          <w:rPr>
                            <w:b/>
                            <w:sz w:val="18"/>
                          </w:rPr>
                          <w:t>流行性腮腺炎</w:t>
                        </w:r>
                      </w:p>
                    </w:tc>
                    <w:tc>
                      <w:tcPr>
                        <w:tcW w:w="3774" w:type="dxa"/>
                      </w:tcPr>
                      <w:p>
                        <w:pPr>
                          <w:pStyle w:val="TableParagraph"/>
                          <w:rPr>
                            <w:sz w:val="18"/>
                          </w:rPr>
                        </w:pPr>
                        <w:r>
                          <w:rPr>
                            <w:sz w:val="18"/>
                          </w:rPr>
                          <w:t>经卫生部门和教育部门联合组织风险评估后</w:t>
                        </w:r>
                      </w:p>
                      <w:p>
                        <w:pPr>
                          <w:pStyle w:val="TableParagraph"/>
                          <w:spacing w:line="215" w:lineRule="exact" w:before="2"/>
                          <w:rPr>
                            <w:sz w:val="18"/>
                          </w:rPr>
                        </w:pPr>
                        <w:r>
                          <w:rPr>
                            <w:sz w:val="18"/>
                          </w:rPr>
                          <w:t>判定</w:t>
                        </w:r>
                      </w:p>
                    </w:tc>
                    <w:tc>
                      <w:tcPr>
                        <w:tcW w:w="2019" w:type="dxa"/>
                      </w:tcPr>
                      <w:p>
                        <w:pPr>
                          <w:pStyle w:val="TableParagraph"/>
                          <w:spacing w:before="117"/>
                          <w:rPr>
                            <w:sz w:val="18"/>
                          </w:rPr>
                        </w:pPr>
                        <w:r>
                          <w:rPr>
                            <w:sz w:val="18"/>
                          </w:rPr>
                          <w:t>14-25 天</w:t>
                        </w:r>
                      </w:p>
                    </w:tc>
                    <w:tc>
                      <w:tcPr>
                        <w:tcW w:w="1034" w:type="dxa"/>
                      </w:tcPr>
                      <w:p>
                        <w:pPr>
                          <w:pStyle w:val="TableParagraph"/>
                          <w:spacing w:before="117"/>
                          <w:rPr>
                            <w:sz w:val="18"/>
                          </w:rPr>
                        </w:pPr>
                        <w:r>
                          <w:rPr>
                            <w:sz w:val="18"/>
                          </w:rPr>
                          <w:t>25 天</w:t>
                        </w:r>
                      </w:p>
                    </w:tc>
                  </w:tr>
                  <w:tr>
                    <w:trPr>
                      <w:trHeight w:val="465" w:hRule="atLeast"/>
                    </w:trPr>
                    <w:tc>
                      <w:tcPr>
                        <w:tcW w:w="1397" w:type="dxa"/>
                        <w:shd w:val="clear" w:color="auto" w:fill="ECECEC"/>
                      </w:tcPr>
                      <w:p>
                        <w:pPr>
                          <w:pStyle w:val="TableParagraph"/>
                          <w:spacing w:before="115"/>
                          <w:ind w:left="135" w:right="126"/>
                          <w:jc w:val="center"/>
                          <w:rPr>
                            <w:b/>
                            <w:sz w:val="18"/>
                          </w:rPr>
                        </w:pPr>
                        <w:r>
                          <w:rPr>
                            <w:b/>
                            <w:sz w:val="18"/>
                          </w:rPr>
                          <w:t>麻疹</w:t>
                        </w:r>
                      </w:p>
                    </w:tc>
                    <w:tc>
                      <w:tcPr>
                        <w:tcW w:w="3774" w:type="dxa"/>
                        <w:shd w:val="clear" w:color="auto" w:fill="ECECEC"/>
                      </w:tcPr>
                      <w:p>
                        <w:pPr>
                          <w:pStyle w:val="TableParagraph"/>
                          <w:spacing w:line="230" w:lineRule="exact"/>
                          <w:rPr>
                            <w:sz w:val="18"/>
                          </w:rPr>
                        </w:pPr>
                        <w:r>
                          <w:rPr>
                            <w:sz w:val="18"/>
                          </w:rPr>
                          <w:t>经卫生部门和教育部门联合组织风险评估后</w:t>
                        </w:r>
                      </w:p>
                      <w:p>
                        <w:pPr>
                          <w:pStyle w:val="TableParagraph"/>
                          <w:spacing w:line="213" w:lineRule="exact" w:before="2"/>
                          <w:rPr>
                            <w:sz w:val="18"/>
                          </w:rPr>
                        </w:pPr>
                        <w:r>
                          <w:rPr>
                            <w:sz w:val="18"/>
                          </w:rPr>
                          <w:t>判定</w:t>
                        </w:r>
                      </w:p>
                    </w:tc>
                    <w:tc>
                      <w:tcPr>
                        <w:tcW w:w="2019" w:type="dxa"/>
                        <w:shd w:val="clear" w:color="auto" w:fill="ECECEC"/>
                      </w:tcPr>
                      <w:p>
                        <w:pPr>
                          <w:pStyle w:val="TableParagraph"/>
                          <w:spacing w:before="115"/>
                          <w:rPr>
                            <w:sz w:val="18"/>
                          </w:rPr>
                        </w:pPr>
                        <w:r>
                          <w:rPr>
                            <w:sz w:val="18"/>
                          </w:rPr>
                          <w:t>6-21 天</w:t>
                        </w:r>
                      </w:p>
                    </w:tc>
                    <w:tc>
                      <w:tcPr>
                        <w:tcW w:w="1034" w:type="dxa"/>
                        <w:shd w:val="clear" w:color="auto" w:fill="ECECEC"/>
                      </w:tcPr>
                      <w:p>
                        <w:pPr>
                          <w:pStyle w:val="TableParagraph"/>
                          <w:spacing w:before="115"/>
                          <w:rPr>
                            <w:sz w:val="18"/>
                          </w:rPr>
                        </w:pPr>
                        <w:r>
                          <w:rPr>
                            <w:sz w:val="18"/>
                          </w:rPr>
                          <w:t>21 天</w:t>
                        </w:r>
                      </w:p>
                    </w:tc>
                  </w:tr>
                  <w:tr>
                    <w:trPr>
                      <w:trHeight w:val="467" w:hRule="atLeast"/>
                    </w:trPr>
                    <w:tc>
                      <w:tcPr>
                        <w:tcW w:w="1397" w:type="dxa"/>
                      </w:tcPr>
                      <w:p>
                        <w:pPr>
                          <w:pStyle w:val="TableParagraph"/>
                          <w:spacing w:before="117"/>
                          <w:ind w:left="135" w:right="126"/>
                          <w:jc w:val="center"/>
                          <w:rPr>
                            <w:b/>
                            <w:sz w:val="18"/>
                          </w:rPr>
                        </w:pPr>
                        <w:r>
                          <w:rPr>
                            <w:b/>
                            <w:sz w:val="18"/>
                          </w:rPr>
                          <w:t>风疹</w:t>
                        </w:r>
                      </w:p>
                    </w:tc>
                    <w:tc>
                      <w:tcPr>
                        <w:tcW w:w="3774" w:type="dxa"/>
                      </w:tcPr>
                      <w:p>
                        <w:pPr>
                          <w:pStyle w:val="TableParagraph"/>
                          <w:spacing w:line="230" w:lineRule="exact"/>
                          <w:rPr>
                            <w:sz w:val="18"/>
                          </w:rPr>
                        </w:pPr>
                        <w:r>
                          <w:rPr>
                            <w:sz w:val="18"/>
                          </w:rPr>
                          <w:t>经卫生部门和教育部门联合组织风险评估后</w:t>
                        </w:r>
                      </w:p>
                      <w:p>
                        <w:pPr>
                          <w:pStyle w:val="TableParagraph"/>
                          <w:spacing w:line="213" w:lineRule="exact" w:before="4"/>
                          <w:rPr>
                            <w:sz w:val="18"/>
                          </w:rPr>
                        </w:pPr>
                        <w:r>
                          <w:rPr>
                            <w:sz w:val="18"/>
                          </w:rPr>
                          <w:t>判定</w:t>
                        </w:r>
                      </w:p>
                    </w:tc>
                    <w:tc>
                      <w:tcPr>
                        <w:tcW w:w="2019" w:type="dxa"/>
                      </w:tcPr>
                      <w:p>
                        <w:pPr>
                          <w:pStyle w:val="TableParagraph"/>
                          <w:spacing w:before="117"/>
                          <w:rPr>
                            <w:sz w:val="18"/>
                          </w:rPr>
                        </w:pPr>
                        <w:r>
                          <w:rPr>
                            <w:sz w:val="18"/>
                          </w:rPr>
                          <w:t>14-21 天</w:t>
                        </w:r>
                      </w:p>
                    </w:tc>
                    <w:tc>
                      <w:tcPr>
                        <w:tcW w:w="1034" w:type="dxa"/>
                      </w:tcPr>
                      <w:p>
                        <w:pPr>
                          <w:pStyle w:val="TableParagraph"/>
                          <w:spacing w:before="117"/>
                          <w:rPr>
                            <w:sz w:val="18"/>
                          </w:rPr>
                        </w:pPr>
                        <w:r>
                          <w:rPr>
                            <w:sz w:val="18"/>
                          </w:rPr>
                          <w:t>21 天</w:t>
                        </w:r>
                      </w:p>
                    </w:tc>
                  </w:tr>
                  <w:tr>
                    <w:trPr>
                      <w:trHeight w:val="467" w:hRule="atLeast"/>
                    </w:trPr>
                    <w:tc>
                      <w:tcPr>
                        <w:tcW w:w="1397" w:type="dxa"/>
                        <w:shd w:val="clear" w:color="auto" w:fill="ECECEC"/>
                      </w:tcPr>
                      <w:p>
                        <w:pPr>
                          <w:pStyle w:val="TableParagraph"/>
                          <w:spacing w:before="117"/>
                          <w:ind w:left="135" w:right="126"/>
                          <w:jc w:val="center"/>
                          <w:rPr>
                            <w:b/>
                            <w:sz w:val="18"/>
                          </w:rPr>
                        </w:pPr>
                        <w:r>
                          <w:rPr>
                            <w:b/>
                            <w:sz w:val="18"/>
                          </w:rPr>
                          <w:t>水痘</w:t>
                        </w:r>
                      </w:p>
                    </w:tc>
                    <w:tc>
                      <w:tcPr>
                        <w:tcW w:w="3774" w:type="dxa"/>
                        <w:shd w:val="clear" w:color="auto" w:fill="ECECEC"/>
                      </w:tcPr>
                      <w:p>
                        <w:pPr>
                          <w:pStyle w:val="TableParagraph"/>
                          <w:spacing w:line="230" w:lineRule="exact"/>
                          <w:rPr>
                            <w:sz w:val="18"/>
                          </w:rPr>
                        </w:pPr>
                        <w:r>
                          <w:rPr>
                            <w:sz w:val="18"/>
                          </w:rPr>
                          <w:t>经卫生部门和教育部门联合组织风险评估后</w:t>
                        </w:r>
                      </w:p>
                      <w:p>
                        <w:pPr>
                          <w:pStyle w:val="TableParagraph"/>
                          <w:spacing w:line="215" w:lineRule="exact" w:before="2"/>
                          <w:rPr>
                            <w:sz w:val="18"/>
                          </w:rPr>
                        </w:pPr>
                        <w:r>
                          <w:rPr>
                            <w:sz w:val="18"/>
                          </w:rPr>
                          <w:t>判定</w:t>
                        </w:r>
                      </w:p>
                    </w:tc>
                    <w:tc>
                      <w:tcPr>
                        <w:tcW w:w="2019" w:type="dxa"/>
                        <w:shd w:val="clear" w:color="auto" w:fill="ECECEC"/>
                      </w:tcPr>
                      <w:p>
                        <w:pPr>
                          <w:pStyle w:val="TableParagraph"/>
                          <w:spacing w:before="117"/>
                          <w:rPr>
                            <w:sz w:val="18"/>
                          </w:rPr>
                        </w:pPr>
                        <w:r>
                          <w:rPr>
                            <w:sz w:val="18"/>
                          </w:rPr>
                          <w:t>10-21 天</w:t>
                        </w:r>
                      </w:p>
                    </w:tc>
                    <w:tc>
                      <w:tcPr>
                        <w:tcW w:w="1034" w:type="dxa"/>
                        <w:shd w:val="clear" w:color="auto" w:fill="ECECEC"/>
                      </w:tcPr>
                      <w:p>
                        <w:pPr>
                          <w:pStyle w:val="TableParagraph"/>
                          <w:spacing w:before="117"/>
                          <w:rPr>
                            <w:sz w:val="18"/>
                          </w:rPr>
                        </w:pPr>
                        <w:r>
                          <w:rPr>
                            <w:sz w:val="18"/>
                          </w:rPr>
                          <w:t>21 天</w:t>
                        </w:r>
                      </w:p>
                    </w:tc>
                  </w:tr>
                  <w:tr>
                    <w:trPr>
                      <w:trHeight w:val="1399" w:hRule="atLeast"/>
                    </w:trPr>
                    <w:tc>
                      <w:tcPr>
                        <w:tcW w:w="1397" w:type="dxa"/>
                      </w:tcPr>
                      <w:p>
                        <w:pPr>
                          <w:pStyle w:val="TableParagraph"/>
                          <w:ind w:left="0"/>
                          <w:rPr>
                            <w:sz w:val="18"/>
                          </w:rPr>
                        </w:pPr>
                      </w:p>
                      <w:p>
                        <w:pPr>
                          <w:pStyle w:val="TableParagraph"/>
                          <w:ind w:left="0"/>
                          <w:rPr>
                            <w:sz w:val="18"/>
                          </w:rPr>
                        </w:pPr>
                      </w:p>
                      <w:p>
                        <w:pPr>
                          <w:pStyle w:val="TableParagraph"/>
                          <w:spacing w:before="121"/>
                          <w:ind w:left="133" w:right="127"/>
                          <w:jc w:val="center"/>
                          <w:rPr>
                            <w:b/>
                            <w:sz w:val="18"/>
                          </w:rPr>
                        </w:pPr>
                        <w:r>
                          <w:rPr>
                            <w:b/>
                            <w:sz w:val="18"/>
                          </w:rPr>
                          <w:t>手足口病</w:t>
                        </w:r>
                      </w:p>
                    </w:tc>
                    <w:tc>
                      <w:tcPr>
                        <w:tcW w:w="3774" w:type="dxa"/>
                      </w:tcPr>
                      <w:p>
                        <w:pPr>
                          <w:pStyle w:val="TableParagraph"/>
                          <w:spacing w:line="230" w:lineRule="exact"/>
                          <w:rPr>
                            <w:sz w:val="18"/>
                          </w:rPr>
                        </w:pPr>
                        <w:r>
                          <w:rPr>
                            <w:sz w:val="18"/>
                          </w:rPr>
                          <w:t>（1）</w:t>
                        </w:r>
                        <w:r>
                          <w:rPr>
                            <w:spacing w:val="-2"/>
                            <w:sz w:val="18"/>
                          </w:rPr>
                          <w:t>出现重症或死亡病例，或 </w:t>
                        </w:r>
                        <w:r>
                          <w:rPr>
                            <w:sz w:val="18"/>
                          </w:rPr>
                          <w:t>1</w:t>
                        </w:r>
                        <w:r>
                          <w:rPr>
                            <w:spacing w:val="-5"/>
                            <w:sz w:val="18"/>
                          </w:rPr>
                          <w:t> 周内同一班</w:t>
                        </w:r>
                      </w:p>
                      <w:p>
                        <w:pPr>
                          <w:pStyle w:val="TableParagraph"/>
                          <w:spacing w:before="2"/>
                          <w:rPr>
                            <w:sz w:val="18"/>
                          </w:rPr>
                        </w:pPr>
                        <w:r>
                          <w:rPr>
                            <w:spacing w:val="-11"/>
                            <w:sz w:val="18"/>
                          </w:rPr>
                          <w:t>级出现 </w:t>
                        </w:r>
                        <w:r>
                          <w:rPr>
                            <w:sz w:val="18"/>
                          </w:rPr>
                          <w:t>2</w:t>
                        </w:r>
                        <w:r>
                          <w:rPr>
                            <w:spacing w:val="-11"/>
                            <w:sz w:val="18"/>
                          </w:rPr>
                          <w:t> 例及以上病例，建议病例所在班级停</w:t>
                        </w:r>
                      </w:p>
                      <w:p>
                        <w:pPr>
                          <w:pStyle w:val="TableParagraph"/>
                          <w:spacing w:before="2"/>
                          <w:rPr>
                            <w:sz w:val="18"/>
                          </w:rPr>
                        </w:pPr>
                        <w:r>
                          <w:rPr>
                            <w:sz w:val="18"/>
                          </w:rPr>
                          <w:t>课 10 天；</w:t>
                        </w:r>
                      </w:p>
                      <w:p>
                        <w:pPr>
                          <w:pStyle w:val="TableParagraph"/>
                          <w:spacing w:before="5"/>
                          <w:rPr>
                            <w:sz w:val="18"/>
                          </w:rPr>
                        </w:pPr>
                        <w:r>
                          <w:rPr>
                            <w:sz w:val="18"/>
                          </w:rPr>
                          <w:t>（2）1</w:t>
                        </w:r>
                        <w:r>
                          <w:rPr>
                            <w:spacing w:val="-13"/>
                            <w:sz w:val="18"/>
                          </w:rPr>
                          <w:t> 周内累计出现 </w:t>
                        </w:r>
                        <w:r>
                          <w:rPr>
                            <w:sz w:val="18"/>
                          </w:rPr>
                          <w:t>10</w:t>
                        </w:r>
                        <w:r>
                          <w:rPr>
                            <w:spacing w:val="-14"/>
                            <w:sz w:val="18"/>
                          </w:rPr>
                          <w:t> 例及以上或 </w:t>
                        </w:r>
                        <w:r>
                          <w:rPr>
                            <w:sz w:val="18"/>
                          </w:rPr>
                          <w:t>3</w:t>
                        </w:r>
                        <w:r>
                          <w:rPr>
                            <w:spacing w:val="-12"/>
                            <w:sz w:val="18"/>
                          </w:rPr>
                          <w:t> 个班级</w:t>
                        </w:r>
                      </w:p>
                      <w:p>
                        <w:pPr>
                          <w:pStyle w:val="TableParagraph"/>
                          <w:spacing w:before="2"/>
                          <w:rPr>
                            <w:sz w:val="18"/>
                          </w:rPr>
                        </w:pPr>
                        <w:r>
                          <w:rPr>
                            <w:spacing w:val="-9"/>
                            <w:sz w:val="18"/>
                          </w:rPr>
                          <w:t>分别出现 </w:t>
                        </w:r>
                        <w:r>
                          <w:rPr>
                            <w:sz w:val="18"/>
                          </w:rPr>
                          <w:t>2</w:t>
                        </w:r>
                        <w:r>
                          <w:rPr>
                            <w:spacing w:val="-7"/>
                            <w:sz w:val="18"/>
                          </w:rPr>
                          <w:t> 例及以上病例时，经风险评估后，</w:t>
                        </w:r>
                      </w:p>
                      <w:p>
                        <w:pPr>
                          <w:pStyle w:val="TableParagraph"/>
                          <w:spacing w:line="213" w:lineRule="exact" w:before="3"/>
                          <w:rPr>
                            <w:sz w:val="18"/>
                          </w:rPr>
                        </w:pPr>
                        <w:r>
                          <w:rPr>
                            <w:sz w:val="18"/>
                          </w:rPr>
                          <w:t>可建议托幼机构停课 10 天</w:t>
                        </w:r>
                      </w:p>
                    </w:tc>
                    <w:tc>
                      <w:tcPr>
                        <w:tcW w:w="2019" w:type="dxa"/>
                      </w:tcPr>
                      <w:p>
                        <w:pPr>
                          <w:pStyle w:val="TableParagraph"/>
                          <w:ind w:left="0"/>
                          <w:rPr>
                            <w:sz w:val="18"/>
                          </w:rPr>
                        </w:pPr>
                      </w:p>
                      <w:p>
                        <w:pPr>
                          <w:pStyle w:val="TableParagraph"/>
                          <w:ind w:left="0"/>
                          <w:rPr>
                            <w:sz w:val="18"/>
                          </w:rPr>
                        </w:pPr>
                      </w:p>
                      <w:p>
                        <w:pPr>
                          <w:pStyle w:val="TableParagraph"/>
                          <w:spacing w:before="121"/>
                          <w:rPr>
                            <w:sz w:val="18"/>
                          </w:rPr>
                        </w:pPr>
                        <w:r>
                          <w:rPr>
                            <w:sz w:val="18"/>
                          </w:rPr>
                          <w:t>2-10 天，平均 3-5 天</w:t>
                        </w:r>
                      </w:p>
                    </w:tc>
                    <w:tc>
                      <w:tcPr>
                        <w:tcW w:w="1034" w:type="dxa"/>
                      </w:tcPr>
                      <w:p>
                        <w:pPr>
                          <w:pStyle w:val="TableParagraph"/>
                          <w:ind w:left="0"/>
                          <w:rPr>
                            <w:sz w:val="18"/>
                          </w:rPr>
                        </w:pPr>
                      </w:p>
                      <w:p>
                        <w:pPr>
                          <w:pStyle w:val="TableParagraph"/>
                          <w:ind w:left="0"/>
                          <w:rPr>
                            <w:sz w:val="18"/>
                          </w:rPr>
                        </w:pPr>
                      </w:p>
                      <w:p>
                        <w:pPr>
                          <w:pStyle w:val="TableParagraph"/>
                          <w:spacing w:before="121"/>
                          <w:rPr>
                            <w:sz w:val="18"/>
                          </w:rPr>
                        </w:pPr>
                        <w:r>
                          <w:rPr>
                            <w:sz w:val="18"/>
                          </w:rPr>
                          <w:t>10 天</w:t>
                        </w:r>
                      </w:p>
                    </w:tc>
                  </w:tr>
                  <w:tr>
                    <w:trPr>
                      <w:trHeight w:val="935" w:hRule="atLeast"/>
                    </w:trPr>
                    <w:tc>
                      <w:tcPr>
                        <w:tcW w:w="1397" w:type="dxa"/>
                        <w:shd w:val="clear" w:color="auto" w:fill="ECECEC"/>
                      </w:tcPr>
                      <w:p>
                        <w:pPr>
                          <w:pStyle w:val="TableParagraph"/>
                          <w:spacing w:before="4"/>
                          <w:ind w:left="0"/>
                          <w:rPr>
                            <w:sz w:val="18"/>
                          </w:rPr>
                        </w:pPr>
                      </w:p>
                      <w:p>
                        <w:pPr>
                          <w:pStyle w:val="TableParagraph"/>
                          <w:spacing w:line="242" w:lineRule="auto"/>
                          <w:ind w:left="426" w:right="327" w:hanging="92"/>
                          <w:rPr>
                            <w:b/>
                            <w:sz w:val="18"/>
                          </w:rPr>
                        </w:pPr>
                        <w:r>
                          <w:rPr>
                            <w:b/>
                            <w:sz w:val="18"/>
                          </w:rPr>
                          <w:t>诺如病毒胃肠炎</w:t>
                        </w:r>
                      </w:p>
                    </w:tc>
                    <w:tc>
                      <w:tcPr>
                        <w:tcW w:w="3774" w:type="dxa"/>
                        <w:shd w:val="clear" w:color="auto" w:fill="ECECEC"/>
                      </w:tcPr>
                      <w:p>
                        <w:pPr>
                          <w:pStyle w:val="TableParagraph"/>
                          <w:numPr>
                            <w:ilvl w:val="0"/>
                            <w:numId w:val="19"/>
                          </w:numPr>
                          <w:tabs>
                            <w:tab w:pos="567" w:val="left" w:leader="none"/>
                          </w:tabs>
                          <w:spacing w:line="242" w:lineRule="auto" w:before="2" w:after="0"/>
                          <w:ind w:left="107" w:right="94" w:firstLine="0"/>
                          <w:jc w:val="left"/>
                          <w:rPr>
                            <w:sz w:val="18"/>
                          </w:rPr>
                        </w:pPr>
                        <w:r>
                          <w:rPr>
                            <w:sz w:val="18"/>
                          </w:rPr>
                          <w:t>该班级当天新增疑似诺如病毒感染病例</w:t>
                        </w:r>
                        <w:r>
                          <w:rPr>
                            <w:spacing w:val="-5"/>
                            <w:sz w:val="18"/>
                          </w:rPr>
                          <w:t>数达班级总人数的 </w:t>
                        </w:r>
                        <w:r>
                          <w:rPr>
                            <w:sz w:val="18"/>
                          </w:rPr>
                          <w:t>10</w:t>
                        </w:r>
                        <w:r>
                          <w:rPr>
                            <w:spacing w:val="-1"/>
                            <w:sz w:val="18"/>
                          </w:rPr>
                          <w:t>%及以上；</w:t>
                        </w:r>
                      </w:p>
                      <w:p>
                        <w:pPr>
                          <w:pStyle w:val="TableParagraph"/>
                          <w:numPr>
                            <w:ilvl w:val="0"/>
                            <w:numId w:val="19"/>
                          </w:numPr>
                          <w:tabs>
                            <w:tab w:pos="567" w:val="left" w:leader="none"/>
                          </w:tabs>
                          <w:spacing w:line="230" w:lineRule="exact" w:before="0" w:after="0"/>
                          <w:ind w:left="566" w:right="0" w:hanging="460"/>
                          <w:jc w:val="left"/>
                          <w:rPr>
                            <w:sz w:val="18"/>
                          </w:rPr>
                        </w:pPr>
                        <w:r>
                          <w:rPr>
                            <w:sz w:val="18"/>
                          </w:rPr>
                          <w:t>该班级现症疑似诺如病毒感染病例数达</w:t>
                        </w:r>
                      </w:p>
                      <w:p>
                        <w:pPr>
                          <w:pStyle w:val="TableParagraph"/>
                          <w:spacing w:line="215" w:lineRule="exact" w:before="2"/>
                          <w:rPr>
                            <w:sz w:val="18"/>
                          </w:rPr>
                        </w:pPr>
                        <w:r>
                          <w:rPr>
                            <w:sz w:val="18"/>
                          </w:rPr>
                          <w:t>班级总人数的 25%及以上。</w:t>
                        </w:r>
                      </w:p>
                    </w:tc>
                    <w:tc>
                      <w:tcPr>
                        <w:tcW w:w="2019" w:type="dxa"/>
                        <w:shd w:val="clear" w:color="auto" w:fill="ECECEC"/>
                      </w:tcPr>
                      <w:p>
                        <w:pPr>
                          <w:pStyle w:val="TableParagraph"/>
                          <w:spacing w:before="4"/>
                          <w:ind w:left="0"/>
                          <w:rPr>
                            <w:sz w:val="18"/>
                          </w:rPr>
                        </w:pPr>
                      </w:p>
                      <w:p>
                        <w:pPr>
                          <w:pStyle w:val="TableParagraph"/>
                          <w:spacing w:line="242" w:lineRule="auto"/>
                          <w:ind w:right="94"/>
                          <w:rPr>
                            <w:sz w:val="18"/>
                          </w:rPr>
                        </w:pPr>
                        <w:r>
                          <w:rPr>
                            <w:sz w:val="18"/>
                          </w:rPr>
                          <w:t>12-72</w:t>
                        </w:r>
                        <w:r>
                          <w:rPr>
                            <w:spacing w:val="-27"/>
                            <w:sz w:val="18"/>
                          </w:rPr>
                          <w:t> 小时，平均 </w:t>
                        </w:r>
                        <w:r>
                          <w:rPr>
                            <w:spacing w:val="-4"/>
                            <w:sz w:val="18"/>
                          </w:rPr>
                          <w:t>24-48 </w:t>
                        </w:r>
                        <w:r>
                          <w:rPr>
                            <w:sz w:val="18"/>
                          </w:rPr>
                          <w:t>小时</w:t>
                        </w:r>
                      </w:p>
                    </w:tc>
                    <w:tc>
                      <w:tcPr>
                        <w:tcW w:w="1034" w:type="dxa"/>
                        <w:shd w:val="clear" w:color="auto" w:fill="ECECEC"/>
                      </w:tcPr>
                      <w:p>
                        <w:pPr>
                          <w:pStyle w:val="TableParagraph"/>
                          <w:ind w:left="0"/>
                          <w:rPr>
                            <w:sz w:val="18"/>
                          </w:rPr>
                        </w:pPr>
                      </w:p>
                      <w:p>
                        <w:pPr>
                          <w:pStyle w:val="TableParagraph"/>
                          <w:spacing w:before="122"/>
                          <w:rPr>
                            <w:sz w:val="18"/>
                          </w:rPr>
                        </w:pPr>
                        <w:r>
                          <w:rPr>
                            <w:sz w:val="18"/>
                          </w:rPr>
                          <w:t>3 天</w:t>
                        </w:r>
                      </w:p>
                    </w:tc>
                  </w:tr>
                  <w:tr>
                    <w:trPr>
                      <w:trHeight w:val="465" w:hRule="atLeast"/>
                    </w:trPr>
                    <w:tc>
                      <w:tcPr>
                        <w:tcW w:w="1397" w:type="dxa"/>
                      </w:tcPr>
                      <w:p>
                        <w:pPr>
                          <w:pStyle w:val="TableParagraph"/>
                          <w:spacing w:before="115"/>
                          <w:ind w:left="135" w:right="126"/>
                          <w:jc w:val="center"/>
                          <w:rPr>
                            <w:b/>
                            <w:sz w:val="18"/>
                          </w:rPr>
                        </w:pPr>
                        <w:r>
                          <w:rPr>
                            <w:b/>
                            <w:sz w:val="18"/>
                          </w:rPr>
                          <w:t>细菌性痢疾</w:t>
                        </w:r>
                      </w:p>
                    </w:tc>
                    <w:tc>
                      <w:tcPr>
                        <w:tcW w:w="3774" w:type="dxa"/>
                      </w:tcPr>
                      <w:p>
                        <w:pPr>
                          <w:pStyle w:val="TableParagraph"/>
                          <w:rPr>
                            <w:sz w:val="18"/>
                          </w:rPr>
                        </w:pPr>
                        <w:r>
                          <w:rPr>
                            <w:sz w:val="18"/>
                          </w:rPr>
                          <w:t>3 天内同一学校、幼儿园等集体单位发生 10</w:t>
                        </w:r>
                      </w:p>
                      <w:p>
                        <w:pPr>
                          <w:pStyle w:val="TableParagraph"/>
                          <w:spacing w:line="213" w:lineRule="exact" w:before="2"/>
                          <w:rPr>
                            <w:sz w:val="18"/>
                          </w:rPr>
                        </w:pPr>
                        <w:r>
                          <w:rPr>
                            <w:sz w:val="18"/>
                          </w:rPr>
                          <w:t>例及以上病例或出现 1 例及以上死亡。</w:t>
                        </w:r>
                      </w:p>
                    </w:tc>
                    <w:tc>
                      <w:tcPr>
                        <w:tcW w:w="2019" w:type="dxa"/>
                      </w:tcPr>
                      <w:p>
                        <w:pPr>
                          <w:pStyle w:val="TableParagraph"/>
                          <w:spacing w:before="115"/>
                          <w:rPr>
                            <w:sz w:val="18"/>
                          </w:rPr>
                        </w:pPr>
                        <w:r>
                          <w:rPr>
                            <w:sz w:val="18"/>
                          </w:rPr>
                          <w:t>多为 1-3 天</w:t>
                        </w:r>
                      </w:p>
                    </w:tc>
                    <w:tc>
                      <w:tcPr>
                        <w:tcW w:w="1034" w:type="dxa"/>
                      </w:tcPr>
                      <w:p>
                        <w:pPr>
                          <w:pStyle w:val="TableParagraph"/>
                          <w:spacing w:before="115"/>
                          <w:rPr>
                            <w:sz w:val="18"/>
                          </w:rPr>
                        </w:pPr>
                        <w:r>
                          <w:rPr>
                            <w:sz w:val="18"/>
                          </w:rPr>
                          <w:t>3 天</w:t>
                        </w:r>
                      </w:p>
                    </w:tc>
                  </w:tr>
                  <w:tr>
                    <w:trPr>
                      <w:trHeight w:val="467" w:hRule="atLeast"/>
                    </w:trPr>
                    <w:tc>
                      <w:tcPr>
                        <w:tcW w:w="1397" w:type="dxa"/>
                        <w:shd w:val="clear" w:color="auto" w:fill="ECECEC"/>
                      </w:tcPr>
                      <w:p>
                        <w:pPr>
                          <w:pStyle w:val="TableParagraph"/>
                          <w:spacing w:line="230" w:lineRule="atLeast" w:before="2"/>
                          <w:ind w:left="515" w:right="144" w:hanging="360"/>
                          <w:rPr>
                            <w:b/>
                            <w:sz w:val="18"/>
                          </w:rPr>
                        </w:pPr>
                        <w:r>
                          <w:rPr>
                            <w:b/>
                            <w:sz w:val="18"/>
                          </w:rPr>
                          <w:t>急性出血性结膜炎</w:t>
                        </w:r>
                      </w:p>
                    </w:tc>
                    <w:tc>
                      <w:tcPr>
                        <w:tcW w:w="3774" w:type="dxa"/>
                        <w:shd w:val="clear" w:color="auto" w:fill="ECECEC"/>
                      </w:tcPr>
                      <w:p>
                        <w:pPr>
                          <w:pStyle w:val="TableParagraph"/>
                          <w:spacing w:line="230" w:lineRule="atLeast" w:before="2"/>
                          <w:ind w:right="35"/>
                          <w:rPr>
                            <w:sz w:val="18"/>
                          </w:rPr>
                        </w:pPr>
                        <w:r>
                          <w:rPr>
                            <w:sz w:val="18"/>
                          </w:rPr>
                          <w:t>现症急性出血性结膜炎的病例累计达 30%或以上</w:t>
                        </w:r>
                      </w:p>
                    </w:tc>
                    <w:tc>
                      <w:tcPr>
                        <w:tcW w:w="2019" w:type="dxa"/>
                        <w:shd w:val="clear" w:color="auto" w:fill="ECECEC"/>
                      </w:tcPr>
                      <w:p>
                        <w:pPr>
                          <w:pStyle w:val="TableParagraph"/>
                          <w:spacing w:line="230" w:lineRule="atLeast" w:before="2"/>
                          <w:ind w:right="94"/>
                          <w:rPr>
                            <w:sz w:val="18"/>
                          </w:rPr>
                        </w:pPr>
                        <w:r>
                          <w:rPr>
                            <w:spacing w:val="-7"/>
                            <w:sz w:val="18"/>
                          </w:rPr>
                          <w:t>潜伏期一般为 </w:t>
                        </w:r>
                        <w:r>
                          <w:rPr>
                            <w:sz w:val="18"/>
                          </w:rPr>
                          <w:t>12-48</w:t>
                        </w:r>
                        <w:r>
                          <w:rPr>
                            <w:spacing w:val="-29"/>
                            <w:sz w:val="18"/>
                          </w:rPr>
                          <w:t> 小</w:t>
                        </w:r>
                        <w:r>
                          <w:rPr>
                            <w:sz w:val="18"/>
                          </w:rPr>
                          <w:t>时</w:t>
                        </w:r>
                      </w:p>
                    </w:tc>
                    <w:tc>
                      <w:tcPr>
                        <w:tcW w:w="1034" w:type="dxa"/>
                        <w:shd w:val="clear" w:color="auto" w:fill="ECECEC"/>
                      </w:tcPr>
                      <w:p>
                        <w:pPr>
                          <w:pStyle w:val="TableParagraph"/>
                          <w:spacing w:before="117"/>
                          <w:rPr>
                            <w:sz w:val="18"/>
                          </w:rPr>
                        </w:pPr>
                        <w:r>
                          <w:rPr>
                            <w:sz w:val="18"/>
                          </w:rPr>
                          <w:t>2 天</w:t>
                        </w:r>
                      </w:p>
                    </w:tc>
                  </w:tr>
                </w:tbl>
                <w:p>
                  <w:pPr>
                    <w:pStyle w:val="BodyText"/>
                  </w:pPr>
                </w:p>
              </w:txbxContent>
            </v:textbox>
            <w10:wrap type="none"/>
          </v:shape>
        </w:pict>
      </w:r>
      <w:r>
        <w:rPr/>
        <w:t>5</w:t>
      </w:r>
      <w:r>
        <w:rPr>
          <w:spacing w:val="-3"/>
        </w:rPr>
        <w:t>、各地可根据实际情况，制定更为严格的停课标准。根据疫情进展情况，卫生和教育行政部门共同决定停课班级是否按时限要求复课，以及是否需要采取年级、学校停课措施。</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9"/>
        </w:rPr>
      </w:pPr>
    </w:p>
    <w:p>
      <w:pPr>
        <w:spacing w:before="0"/>
        <w:ind w:left="220" w:right="0" w:firstLine="0"/>
        <w:jc w:val="left"/>
        <w:rPr>
          <w:sz w:val="20"/>
        </w:rPr>
      </w:pPr>
      <w:r>
        <w:rPr>
          <w:sz w:val="20"/>
        </w:rPr>
        <w:t>*停课时间可根据疫情情况延长</w:t>
      </w:r>
    </w:p>
    <w:sectPr>
      <w:type w:val="continuous"/>
      <w:pgSz w:w="11910" w:h="16840"/>
      <w:pgMar w:top="1580" w:bottom="280" w:left="158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创艺简中圆">
    <w:altName w:val="创艺简中圆"/>
    <w:charset w:val="86"/>
    <w:family w:val="auto"/>
    <w:pitch w:val="variable"/>
  </w:font>
  <w:font w:name="微软雅黑">
    <w:altName w:val="微软雅黑"/>
    <w:charset w:val="86"/>
    <w:family w:val="swiss"/>
    <w:pitch w:val="variable"/>
  </w:font>
  <w:font w:name="宋体">
    <w:altName w:val="宋体"/>
    <w:charset w:val="86"/>
    <w:family w:val="auto"/>
    <w:pitch w:val="variable"/>
  </w:font>
  <w:font w:name="仿宋">
    <w:altName w:val="仿宋"/>
    <w:charset w:val="86"/>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
    <w:multiLevelType w:val="hybridMultilevel"/>
    <w:lvl w:ilvl="0">
      <w:start w:val="1"/>
      <w:numFmt w:val="decimal"/>
      <w:lvlText w:val="（%1）"/>
      <w:lvlJc w:val="left"/>
      <w:pPr>
        <w:ind w:left="107" w:hanging="459"/>
        <w:jc w:val="left"/>
      </w:pPr>
      <w:rPr>
        <w:rFonts w:hint="default" w:ascii="宋体" w:hAnsi="宋体" w:eastAsia="宋体" w:cs="宋体"/>
        <w:spacing w:val="-44"/>
        <w:w w:val="100"/>
        <w:sz w:val="16"/>
        <w:szCs w:val="16"/>
        <w:lang w:val="zh-CN" w:eastAsia="zh-CN" w:bidi="zh-CN"/>
      </w:rPr>
    </w:lvl>
    <w:lvl w:ilvl="1">
      <w:start w:val="0"/>
      <w:numFmt w:val="bullet"/>
      <w:lvlText w:val="•"/>
      <w:lvlJc w:val="left"/>
      <w:pPr>
        <w:ind w:left="466" w:hanging="459"/>
      </w:pPr>
      <w:rPr>
        <w:rFonts w:hint="default"/>
        <w:lang w:val="zh-CN" w:eastAsia="zh-CN" w:bidi="zh-CN"/>
      </w:rPr>
    </w:lvl>
    <w:lvl w:ilvl="2">
      <w:start w:val="0"/>
      <w:numFmt w:val="bullet"/>
      <w:lvlText w:val="•"/>
      <w:lvlJc w:val="left"/>
      <w:pPr>
        <w:ind w:left="832" w:hanging="459"/>
      </w:pPr>
      <w:rPr>
        <w:rFonts w:hint="default"/>
        <w:lang w:val="zh-CN" w:eastAsia="zh-CN" w:bidi="zh-CN"/>
      </w:rPr>
    </w:lvl>
    <w:lvl w:ilvl="3">
      <w:start w:val="0"/>
      <w:numFmt w:val="bullet"/>
      <w:lvlText w:val="•"/>
      <w:lvlJc w:val="left"/>
      <w:pPr>
        <w:ind w:left="1199" w:hanging="459"/>
      </w:pPr>
      <w:rPr>
        <w:rFonts w:hint="default"/>
        <w:lang w:val="zh-CN" w:eastAsia="zh-CN" w:bidi="zh-CN"/>
      </w:rPr>
    </w:lvl>
    <w:lvl w:ilvl="4">
      <w:start w:val="0"/>
      <w:numFmt w:val="bullet"/>
      <w:lvlText w:val="•"/>
      <w:lvlJc w:val="left"/>
      <w:pPr>
        <w:ind w:left="1565" w:hanging="459"/>
      </w:pPr>
      <w:rPr>
        <w:rFonts w:hint="default"/>
        <w:lang w:val="zh-CN" w:eastAsia="zh-CN" w:bidi="zh-CN"/>
      </w:rPr>
    </w:lvl>
    <w:lvl w:ilvl="5">
      <w:start w:val="0"/>
      <w:numFmt w:val="bullet"/>
      <w:lvlText w:val="•"/>
      <w:lvlJc w:val="left"/>
      <w:pPr>
        <w:ind w:left="1932" w:hanging="459"/>
      </w:pPr>
      <w:rPr>
        <w:rFonts w:hint="default"/>
        <w:lang w:val="zh-CN" w:eastAsia="zh-CN" w:bidi="zh-CN"/>
      </w:rPr>
    </w:lvl>
    <w:lvl w:ilvl="6">
      <w:start w:val="0"/>
      <w:numFmt w:val="bullet"/>
      <w:lvlText w:val="•"/>
      <w:lvlJc w:val="left"/>
      <w:pPr>
        <w:ind w:left="2298" w:hanging="459"/>
      </w:pPr>
      <w:rPr>
        <w:rFonts w:hint="default"/>
        <w:lang w:val="zh-CN" w:eastAsia="zh-CN" w:bidi="zh-CN"/>
      </w:rPr>
    </w:lvl>
    <w:lvl w:ilvl="7">
      <w:start w:val="0"/>
      <w:numFmt w:val="bullet"/>
      <w:lvlText w:val="•"/>
      <w:lvlJc w:val="left"/>
      <w:pPr>
        <w:ind w:left="2664" w:hanging="459"/>
      </w:pPr>
      <w:rPr>
        <w:rFonts w:hint="default"/>
        <w:lang w:val="zh-CN" w:eastAsia="zh-CN" w:bidi="zh-CN"/>
      </w:rPr>
    </w:lvl>
    <w:lvl w:ilvl="8">
      <w:start w:val="0"/>
      <w:numFmt w:val="bullet"/>
      <w:lvlText w:val="•"/>
      <w:lvlJc w:val="left"/>
      <w:pPr>
        <w:ind w:left="3031" w:hanging="459"/>
      </w:pPr>
      <w:rPr>
        <w:rFonts w:hint="default"/>
        <w:lang w:val="zh-CN" w:eastAsia="zh-CN" w:bidi="zh-CN"/>
      </w:rPr>
    </w:lvl>
  </w:abstractNum>
  <w:abstractNum w:abstractNumId="17">
    <w:multiLevelType w:val="hybridMultilevel"/>
    <w:lvl w:ilvl="0">
      <w:start w:val="1"/>
      <w:numFmt w:val="decimal"/>
      <w:lvlText w:val="（%1）"/>
      <w:lvlJc w:val="left"/>
      <w:pPr>
        <w:ind w:left="107" w:hanging="453"/>
        <w:jc w:val="left"/>
      </w:pPr>
      <w:rPr>
        <w:rFonts w:hint="default" w:ascii="宋体" w:hAnsi="宋体" w:eastAsia="宋体" w:cs="宋体"/>
        <w:spacing w:val="-41"/>
        <w:w w:val="100"/>
        <w:sz w:val="16"/>
        <w:szCs w:val="16"/>
        <w:lang w:val="zh-CN" w:eastAsia="zh-CN" w:bidi="zh-CN"/>
      </w:rPr>
    </w:lvl>
    <w:lvl w:ilvl="1">
      <w:start w:val="0"/>
      <w:numFmt w:val="bullet"/>
      <w:lvlText w:val="•"/>
      <w:lvlJc w:val="left"/>
      <w:pPr>
        <w:ind w:left="466" w:hanging="453"/>
      </w:pPr>
      <w:rPr>
        <w:rFonts w:hint="default"/>
        <w:lang w:val="zh-CN" w:eastAsia="zh-CN" w:bidi="zh-CN"/>
      </w:rPr>
    </w:lvl>
    <w:lvl w:ilvl="2">
      <w:start w:val="0"/>
      <w:numFmt w:val="bullet"/>
      <w:lvlText w:val="•"/>
      <w:lvlJc w:val="left"/>
      <w:pPr>
        <w:ind w:left="832" w:hanging="453"/>
      </w:pPr>
      <w:rPr>
        <w:rFonts w:hint="default"/>
        <w:lang w:val="zh-CN" w:eastAsia="zh-CN" w:bidi="zh-CN"/>
      </w:rPr>
    </w:lvl>
    <w:lvl w:ilvl="3">
      <w:start w:val="0"/>
      <w:numFmt w:val="bullet"/>
      <w:lvlText w:val="•"/>
      <w:lvlJc w:val="left"/>
      <w:pPr>
        <w:ind w:left="1199" w:hanging="453"/>
      </w:pPr>
      <w:rPr>
        <w:rFonts w:hint="default"/>
        <w:lang w:val="zh-CN" w:eastAsia="zh-CN" w:bidi="zh-CN"/>
      </w:rPr>
    </w:lvl>
    <w:lvl w:ilvl="4">
      <w:start w:val="0"/>
      <w:numFmt w:val="bullet"/>
      <w:lvlText w:val="•"/>
      <w:lvlJc w:val="left"/>
      <w:pPr>
        <w:ind w:left="1565" w:hanging="453"/>
      </w:pPr>
      <w:rPr>
        <w:rFonts w:hint="default"/>
        <w:lang w:val="zh-CN" w:eastAsia="zh-CN" w:bidi="zh-CN"/>
      </w:rPr>
    </w:lvl>
    <w:lvl w:ilvl="5">
      <w:start w:val="0"/>
      <w:numFmt w:val="bullet"/>
      <w:lvlText w:val="•"/>
      <w:lvlJc w:val="left"/>
      <w:pPr>
        <w:ind w:left="1932" w:hanging="453"/>
      </w:pPr>
      <w:rPr>
        <w:rFonts w:hint="default"/>
        <w:lang w:val="zh-CN" w:eastAsia="zh-CN" w:bidi="zh-CN"/>
      </w:rPr>
    </w:lvl>
    <w:lvl w:ilvl="6">
      <w:start w:val="0"/>
      <w:numFmt w:val="bullet"/>
      <w:lvlText w:val="•"/>
      <w:lvlJc w:val="left"/>
      <w:pPr>
        <w:ind w:left="2298" w:hanging="453"/>
      </w:pPr>
      <w:rPr>
        <w:rFonts w:hint="default"/>
        <w:lang w:val="zh-CN" w:eastAsia="zh-CN" w:bidi="zh-CN"/>
      </w:rPr>
    </w:lvl>
    <w:lvl w:ilvl="7">
      <w:start w:val="0"/>
      <w:numFmt w:val="bullet"/>
      <w:lvlText w:val="•"/>
      <w:lvlJc w:val="left"/>
      <w:pPr>
        <w:ind w:left="2664" w:hanging="453"/>
      </w:pPr>
      <w:rPr>
        <w:rFonts w:hint="default"/>
        <w:lang w:val="zh-CN" w:eastAsia="zh-CN" w:bidi="zh-CN"/>
      </w:rPr>
    </w:lvl>
    <w:lvl w:ilvl="8">
      <w:start w:val="0"/>
      <w:numFmt w:val="bullet"/>
      <w:lvlText w:val="•"/>
      <w:lvlJc w:val="left"/>
      <w:pPr>
        <w:ind w:left="3031" w:hanging="453"/>
      </w:pPr>
      <w:rPr>
        <w:rFonts w:hint="default"/>
        <w:lang w:val="zh-CN" w:eastAsia="zh-CN" w:bidi="zh-CN"/>
      </w:rPr>
    </w:lvl>
  </w:abstractNum>
  <w:abstractNum w:abstractNumId="16">
    <w:multiLevelType w:val="hybridMultilevel"/>
    <w:lvl w:ilvl="0">
      <w:start w:val="1"/>
      <w:numFmt w:val="decimal"/>
      <w:lvlText w:val="%1."/>
      <w:lvlJc w:val="left"/>
      <w:pPr>
        <w:ind w:left="287" w:hanging="183"/>
        <w:jc w:val="left"/>
      </w:pPr>
      <w:rPr>
        <w:rFonts w:hint="default" w:ascii="宋体" w:hAnsi="宋体" w:eastAsia="宋体" w:cs="宋体"/>
        <w:spacing w:val="1"/>
        <w:w w:val="100"/>
        <w:sz w:val="16"/>
        <w:szCs w:val="16"/>
        <w:lang w:val="zh-CN" w:eastAsia="zh-CN" w:bidi="zh-CN"/>
      </w:rPr>
    </w:lvl>
    <w:lvl w:ilvl="1">
      <w:start w:val="0"/>
      <w:numFmt w:val="bullet"/>
      <w:lvlText w:val="•"/>
      <w:lvlJc w:val="left"/>
      <w:pPr>
        <w:ind w:left="740" w:hanging="183"/>
      </w:pPr>
      <w:rPr>
        <w:rFonts w:hint="default"/>
        <w:lang w:val="zh-CN" w:eastAsia="zh-CN" w:bidi="zh-CN"/>
      </w:rPr>
    </w:lvl>
    <w:lvl w:ilvl="2">
      <w:start w:val="0"/>
      <w:numFmt w:val="bullet"/>
      <w:lvlText w:val="•"/>
      <w:lvlJc w:val="left"/>
      <w:pPr>
        <w:ind w:left="1201" w:hanging="183"/>
      </w:pPr>
      <w:rPr>
        <w:rFonts w:hint="default"/>
        <w:lang w:val="zh-CN" w:eastAsia="zh-CN" w:bidi="zh-CN"/>
      </w:rPr>
    </w:lvl>
    <w:lvl w:ilvl="3">
      <w:start w:val="0"/>
      <w:numFmt w:val="bullet"/>
      <w:lvlText w:val="•"/>
      <w:lvlJc w:val="left"/>
      <w:pPr>
        <w:ind w:left="1661" w:hanging="183"/>
      </w:pPr>
      <w:rPr>
        <w:rFonts w:hint="default"/>
        <w:lang w:val="zh-CN" w:eastAsia="zh-CN" w:bidi="zh-CN"/>
      </w:rPr>
    </w:lvl>
    <w:lvl w:ilvl="4">
      <w:start w:val="0"/>
      <w:numFmt w:val="bullet"/>
      <w:lvlText w:val="•"/>
      <w:lvlJc w:val="left"/>
      <w:pPr>
        <w:ind w:left="2122" w:hanging="183"/>
      </w:pPr>
      <w:rPr>
        <w:rFonts w:hint="default"/>
        <w:lang w:val="zh-CN" w:eastAsia="zh-CN" w:bidi="zh-CN"/>
      </w:rPr>
    </w:lvl>
    <w:lvl w:ilvl="5">
      <w:start w:val="0"/>
      <w:numFmt w:val="bullet"/>
      <w:lvlText w:val="•"/>
      <w:lvlJc w:val="left"/>
      <w:pPr>
        <w:ind w:left="2582" w:hanging="183"/>
      </w:pPr>
      <w:rPr>
        <w:rFonts w:hint="default"/>
        <w:lang w:val="zh-CN" w:eastAsia="zh-CN" w:bidi="zh-CN"/>
      </w:rPr>
    </w:lvl>
    <w:lvl w:ilvl="6">
      <w:start w:val="0"/>
      <w:numFmt w:val="bullet"/>
      <w:lvlText w:val="•"/>
      <w:lvlJc w:val="left"/>
      <w:pPr>
        <w:ind w:left="3043" w:hanging="183"/>
      </w:pPr>
      <w:rPr>
        <w:rFonts w:hint="default"/>
        <w:lang w:val="zh-CN" w:eastAsia="zh-CN" w:bidi="zh-CN"/>
      </w:rPr>
    </w:lvl>
    <w:lvl w:ilvl="7">
      <w:start w:val="0"/>
      <w:numFmt w:val="bullet"/>
      <w:lvlText w:val="•"/>
      <w:lvlJc w:val="left"/>
      <w:pPr>
        <w:ind w:left="3503" w:hanging="183"/>
      </w:pPr>
      <w:rPr>
        <w:rFonts w:hint="default"/>
        <w:lang w:val="zh-CN" w:eastAsia="zh-CN" w:bidi="zh-CN"/>
      </w:rPr>
    </w:lvl>
    <w:lvl w:ilvl="8">
      <w:start w:val="0"/>
      <w:numFmt w:val="bullet"/>
      <w:lvlText w:val="•"/>
      <w:lvlJc w:val="left"/>
      <w:pPr>
        <w:ind w:left="3964" w:hanging="183"/>
      </w:pPr>
      <w:rPr>
        <w:rFonts w:hint="default"/>
        <w:lang w:val="zh-CN" w:eastAsia="zh-CN" w:bidi="zh-CN"/>
      </w:rPr>
    </w:lvl>
  </w:abstractNum>
  <w:abstractNum w:abstractNumId="15">
    <w:multiLevelType w:val="hybridMultilevel"/>
    <w:lvl w:ilvl="0">
      <w:start w:val="1"/>
      <w:numFmt w:val="decimal"/>
      <w:lvlText w:val="%1."/>
      <w:lvlJc w:val="left"/>
      <w:pPr>
        <w:ind w:left="287" w:hanging="183"/>
        <w:jc w:val="left"/>
      </w:pPr>
      <w:rPr>
        <w:rFonts w:hint="default" w:ascii="宋体" w:hAnsi="宋体" w:eastAsia="宋体" w:cs="宋体"/>
        <w:spacing w:val="1"/>
        <w:w w:val="100"/>
        <w:sz w:val="16"/>
        <w:szCs w:val="16"/>
        <w:lang w:val="zh-CN" w:eastAsia="zh-CN" w:bidi="zh-CN"/>
      </w:rPr>
    </w:lvl>
    <w:lvl w:ilvl="1">
      <w:start w:val="0"/>
      <w:numFmt w:val="bullet"/>
      <w:lvlText w:val="•"/>
      <w:lvlJc w:val="left"/>
      <w:pPr>
        <w:ind w:left="740" w:hanging="183"/>
      </w:pPr>
      <w:rPr>
        <w:rFonts w:hint="default"/>
        <w:lang w:val="zh-CN" w:eastAsia="zh-CN" w:bidi="zh-CN"/>
      </w:rPr>
    </w:lvl>
    <w:lvl w:ilvl="2">
      <w:start w:val="0"/>
      <w:numFmt w:val="bullet"/>
      <w:lvlText w:val="•"/>
      <w:lvlJc w:val="left"/>
      <w:pPr>
        <w:ind w:left="1201" w:hanging="183"/>
      </w:pPr>
      <w:rPr>
        <w:rFonts w:hint="default"/>
        <w:lang w:val="zh-CN" w:eastAsia="zh-CN" w:bidi="zh-CN"/>
      </w:rPr>
    </w:lvl>
    <w:lvl w:ilvl="3">
      <w:start w:val="0"/>
      <w:numFmt w:val="bullet"/>
      <w:lvlText w:val="•"/>
      <w:lvlJc w:val="left"/>
      <w:pPr>
        <w:ind w:left="1661" w:hanging="183"/>
      </w:pPr>
      <w:rPr>
        <w:rFonts w:hint="default"/>
        <w:lang w:val="zh-CN" w:eastAsia="zh-CN" w:bidi="zh-CN"/>
      </w:rPr>
    </w:lvl>
    <w:lvl w:ilvl="4">
      <w:start w:val="0"/>
      <w:numFmt w:val="bullet"/>
      <w:lvlText w:val="•"/>
      <w:lvlJc w:val="left"/>
      <w:pPr>
        <w:ind w:left="2122" w:hanging="183"/>
      </w:pPr>
      <w:rPr>
        <w:rFonts w:hint="default"/>
        <w:lang w:val="zh-CN" w:eastAsia="zh-CN" w:bidi="zh-CN"/>
      </w:rPr>
    </w:lvl>
    <w:lvl w:ilvl="5">
      <w:start w:val="0"/>
      <w:numFmt w:val="bullet"/>
      <w:lvlText w:val="•"/>
      <w:lvlJc w:val="left"/>
      <w:pPr>
        <w:ind w:left="2582" w:hanging="183"/>
      </w:pPr>
      <w:rPr>
        <w:rFonts w:hint="default"/>
        <w:lang w:val="zh-CN" w:eastAsia="zh-CN" w:bidi="zh-CN"/>
      </w:rPr>
    </w:lvl>
    <w:lvl w:ilvl="6">
      <w:start w:val="0"/>
      <w:numFmt w:val="bullet"/>
      <w:lvlText w:val="•"/>
      <w:lvlJc w:val="left"/>
      <w:pPr>
        <w:ind w:left="3043" w:hanging="183"/>
      </w:pPr>
      <w:rPr>
        <w:rFonts w:hint="default"/>
        <w:lang w:val="zh-CN" w:eastAsia="zh-CN" w:bidi="zh-CN"/>
      </w:rPr>
    </w:lvl>
    <w:lvl w:ilvl="7">
      <w:start w:val="0"/>
      <w:numFmt w:val="bullet"/>
      <w:lvlText w:val="•"/>
      <w:lvlJc w:val="left"/>
      <w:pPr>
        <w:ind w:left="3503" w:hanging="183"/>
      </w:pPr>
      <w:rPr>
        <w:rFonts w:hint="default"/>
        <w:lang w:val="zh-CN" w:eastAsia="zh-CN" w:bidi="zh-CN"/>
      </w:rPr>
    </w:lvl>
    <w:lvl w:ilvl="8">
      <w:start w:val="0"/>
      <w:numFmt w:val="bullet"/>
      <w:lvlText w:val="•"/>
      <w:lvlJc w:val="left"/>
      <w:pPr>
        <w:ind w:left="3964" w:hanging="183"/>
      </w:pPr>
      <w:rPr>
        <w:rFonts w:hint="default"/>
        <w:lang w:val="zh-CN" w:eastAsia="zh-CN" w:bidi="zh-CN"/>
      </w:rPr>
    </w:lvl>
  </w:abstractNum>
  <w:abstractNum w:abstractNumId="14">
    <w:multiLevelType w:val="hybridMultilevel"/>
    <w:lvl w:ilvl="0">
      <w:start w:val="1"/>
      <w:numFmt w:val="decimal"/>
      <w:lvlText w:val="%1."/>
      <w:lvlJc w:val="left"/>
      <w:pPr>
        <w:ind w:left="287" w:hanging="183"/>
        <w:jc w:val="left"/>
      </w:pPr>
      <w:rPr>
        <w:rFonts w:hint="default" w:ascii="宋体" w:hAnsi="宋体" w:eastAsia="宋体" w:cs="宋体"/>
        <w:spacing w:val="1"/>
        <w:w w:val="100"/>
        <w:sz w:val="16"/>
        <w:szCs w:val="16"/>
        <w:lang w:val="zh-CN" w:eastAsia="zh-CN" w:bidi="zh-CN"/>
      </w:rPr>
    </w:lvl>
    <w:lvl w:ilvl="1">
      <w:start w:val="0"/>
      <w:numFmt w:val="bullet"/>
      <w:lvlText w:val="•"/>
      <w:lvlJc w:val="left"/>
      <w:pPr>
        <w:ind w:left="740" w:hanging="183"/>
      </w:pPr>
      <w:rPr>
        <w:rFonts w:hint="default"/>
        <w:lang w:val="zh-CN" w:eastAsia="zh-CN" w:bidi="zh-CN"/>
      </w:rPr>
    </w:lvl>
    <w:lvl w:ilvl="2">
      <w:start w:val="0"/>
      <w:numFmt w:val="bullet"/>
      <w:lvlText w:val="•"/>
      <w:lvlJc w:val="left"/>
      <w:pPr>
        <w:ind w:left="1201" w:hanging="183"/>
      </w:pPr>
      <w:rPr>
        <w:rFonts w:hint="default"/>
        <w:lang w:val="zh-CN" w:eastAsia="zh-CN" w:bidi="zh-CN"/>
      </w:rPr>
    </w:lvl>
    <w:lvl w:ilvl="3">
      <w:start w:val="0"/>
      <w:numFmt w:val="bullet"/>
      <w:lvlText w:val="•"/>
      <w:lvlJc w:val="left"/>
      <w:pPr>
        <w:ind w:left="1661" w:hanging="183"/>
      </w:pPr>
      <w:rPr>
        <w:rFonts w:hint="default"/>
        <w:lang w:val="zh-CN" w:eastAsia="zh-CN" w:bidi="zh-CN"/>
      </w:rPr>
    </w:lvl>
    <w:lvl w:ilvl="4">
      <w:start w:val="0"/>
      <w:numFmt w:val="bullet"/>
      <w:lvlText w:val="•"/>
      <w:lvlJc w:val="left"/>
      <w:pPr>
        <w:ind w:left="2122" w:hanging="183"/>
      </w:pPr>
      <w:rPr>
        <w:rFonts w:hint="default"/>
        <w:lang w:val="zh-CN" w:eastAsia="zh-CN" w:bidi="zh-CN"/>
      </w:rPr>
    </w:lvl>
    <w:lvl w:ilvl="5">
      <w:start w:val="0"/>
      <w:numFmt w:val="bullet"/>
      <w:lvlText w:val="•"/>
      <w:lvlJc w:val="left"/>
      <w:pPr>
        <w:ind w:left="2582" w:hanging="183"/>
      </w:pPr>
      <w:rPr>
        <w:rFonts w:hint="default"/>
        <w:lang w:val="zh-CN" w:eastAsia="zh-CN" w:bidi="zh-CN"/>
      </w:rPr>
    </w:lvl>
    <w:lvl w:ilvl="6">
      <w:start w:val="0"/>
      <w:numFmt w:val="bullet"/>
      <w:lvlText w:val="•"/>
      <w:lvlJc w:val="left"/>
      <w:pPr>
        <w:ind w:left="3043" w:hanging="183"/>
      </w:pPr>
      <w:rPr>
        <w:rFonts w:hint="default"/>
        <w:lang w:val="zh-CN" w:eastAsia="zh-CN" w:bidi="zh-CN"/>
      </w:rPr>
    </w:lvl>
    <w:lvl w:ilvl="7">
      <w:start w:val="0"/>
      <w:numFmt w:val="bullet"/>
      <w:lvlText w:val="•"/>
      <w:lvlJc w:val="left"/>
      <w:pPr>
        <w:ind w:left="3503" w:hanging="183"/>
      </w:pPr>
      <w:rPr>
        <w:rFonts w:hint="default"/>
        <w:lang w:val="zh-CN" w:eastAsia="zh-CN" w:bidi="zh-CN"/>
      </w:rPr>
    </w:lvl>
    <w:lvl w:ilvl="8">
      <w:start w:val="0"/>
      <w:numFmt w:val="bullet"/>
      <w:lvlText w:val="•"/>
      <w:lvlJc w:val="left"/>
      <w:pPr>
        <w:ind w:left="3964" w:hanging="183"/>
      </w:pPr>
      <w:rPr>
        <w:rFonts w:hint="default"/>
        <w:lang w:val="zh-CN" w:eastAsia="zh-CN" w:bidi="zh-CN"/>
      </w:rPr>
    </w:lvl>
  </w:abstractNum>
  <w:abstractNum w:abstractNumId="13">
    <w:multiLevelType w:val="hybridMultilevel"/>
    <w:lvl w:ilvl="0">
      <w:start w:val="1"/>
      <w:numFmt w:val="decimal"/>
      <w:lvlText w:val="%1."/>
      <w:lvlJc w:val="left"/>
      <w:pPr>
        <w:ind w:left="287" w:hanging="183"/>
        <w:jc w:val="left"/>
      </w:pPr>
      <w:rPr>
        <w:rFonts w:hint="default" w:ascii="宋体" w:hAnsi="宋体" w:eastAsia="宋体" w:cs="宋体"/>
        <w:spacing w:val="1"/>
        <w:w w:val="100"/>
        <w:sz w:val="16"/>
        <w:szCs w:val="16"/>
        <w:lang w:val="zh-CN" w:eastAsia="zh-CN" w:bidi="zh-CN"/>
      </w:rPr>
    </w:lvl>
    <w:lvl w:ilvl="1">
      <w:start w:val="0"/>
      <w:numFmt w:val="bullet"/>
      <w:lvlText w:val="•"/>
      <w:lvlJc w:val="left"/>
      <w:pPr>
        <w:ind w:left="740" w:hanging="183"/>
      </w:pPr>
      <w:rPr>
        <w:rFonts w:hint="default"/>
        <w:lang w:val="zh-CN" w:eastAsia="zh-CN" w:bidi="zh-CN"/>
      </w:rPr>
    </w:lvl>
    <w:lvl w:ilvl="2">
      <w:start w:val="0"/>
      <w:numFmt w:val="bullet"/>
      <w:lvlText w:val="•"/>
      <w:lvlJc w:val="left"/>
      <w:pPr>
        <w:ind w:left="1201" w:hanging="183"/>
      </w:pPr>
      <w:rPr>
        <w:rFonts w:hint="default"/>
        <w:lang w:val="zh-CN" w:eastAsia="zh-CN" w:bidi="zh-CN"/>
      </w:rPr>
    </w:lvl>
    <w:lvl w:ilvl="3">
      <w:start w:val="0"/>
      <w:numFmt w:val="bullet"/>
      <w:lvlText w:val="•"/>
      <w:lvlJc w:val="left"/>
      <w:pPr>
        <w:ind w:left="1661" w:hanging="183"/>
      </w:pPr>
      <w:rPr>
        <w:rFonts w:hint="default"/>
        <w:lang w:val="zh-CN" w:eastAsia="zh-CN" w:bidi="zh-CN"/>
      </w:rPr>
    </w:lvl>
    <w:lvl w:ilvl="4">
      <w:start w:val="0"/>
      <w:numFmt w:val="bullet"/>
      <w:lvlText w:val="•"/>
      <w:lvlJc w:val="left"/>
      <w:pPr>
        <w:ind w:left="2122" w:hanging="183"/>
      </w:pPr>
      <w:rPr>
        <w:rFonts w:hint="default"/>
        <w:lang w:val="zh-CN" w:eastAsia="zh-CN" w:bidi="zh-CN"/>
      </w:rPr>
    </w:lvl>
    <w:lvl w:ilvl="5">
      <w:start w:val="0"/>
      <w:numFmt w:val="bullet"/>
      <w:lvlText w:val="•"/>
      <w:lvlJc w:val="left"/>
      <w:pPr>
        <w:ind w:left="2582" w:hanging="183"/>
      </w:pPr>
      <w:rPr>
        <w:rFonts w:hint="default"/>
        <w:lang w:val="zh-CN" w:eastAsia="zh-CN" w:bidi="zh-CN"/>
      </w:rPr>
    </w:lvl>
    <w:lvl w:ilvl="6">
      <w:start w:val="0"/>
      <w:numFmt w:val="bullet"/>
      <w:lvlText w:val="•"/>
      <w:lvlJc w:val="left"/>
      <w:pPr>
        <w:ind w:left="3043" w:hanging="183"/>
      </w:pPr>
      <w:rPr>
        <w:rFonts w:hint="default"/>
        <w:lang w:val="zh-CN" w:eastAsia="zh-CN" w:bidi="zh-CN"/>
      </w:rPr>
    </w:lvl>
    <w:lvl w:ilvl="7">
      <w:start w:val="0"/>
      <w:numFmt w:val="bullet"/>
      <w:lvlText w:val="•"/>
      <w:lvlJc w:val="left"/>
      <w:pPr>
        <w:ind w:left="3503" w:hanging="183"/>
      </w:pPr>
      <w:rPr>
        <w:rFonts w:hint="default"/>
        <w:lang w:val="zh-CN" w:eastAsia="zh-CN" w:bidi="zh-CN"/>
      </w:rPr>
    </w:lvl>
    <w:lvl w:ilvl="8">
      <w:start w:val="0"/>
      <w:numFmt w:val="bullet"/>
      <w:lvlText w:val="•"/>
      <w:lvlJc w:val="left"/>
      <w:pPr>
        <w:ind w:left="3964" w:hanging="183"/>
      </w:pPr>
      <w:rPr>
        <w:rFonts w:hint="default"/>
        <w:lang w:val="zh-CN" w:eastAsia="zh-CN" w:bidi="zh-CN"/>
      </w:rPr>
    </w:lvl>
  </w:abstractNum>
  <w:abstractNum w:abstractNumId="12">
    <w:multiLevelType w:val="hybridMultilevel"/>
    <w:lvl w:ilvl="0">
      <w:start w:val="1"/>
      <w:numFmt w:val="decimal"/>
      <w:lvlText w:val="%1."/>
      <w:lvlJc w:val="left"/>
      <w:pPr>
        <w:ind w:left="287" w:hanging="183"/>
        <w:jc w:val="left"/>
      </w:pPr>
      <w:rPr>
        <w:rFonts w:hint="default" w:ascii="宋体" w:hAnsi="宋体" w:eastAsia="宋体" w:cs="宋体"/>
        <w:spacing w:val="1"/>
        <w:w w:val="100"/>
        <w:sz w:val="16"/>
        <w:szCs w:val="16"/>
        <w:lang w:val="zh-CN" w:eastAsia="zh-CN" w:bidi="zh-CN"/>
      </w:rPr>
    </w:lvl>
    <w:lvl w:ilvl="1">
      <w:start w:val="0"/>
      <w:numFmt w:val="bullet"/>
      <w:lvlText w:val="•"/>
      <w:lvlJc w:val="left"/>
      <w:pPr>
        <w:ind w:left="740" w:hanging="183"/>
      </w:pPr>
      <w:rPr>
        <w:rFonts w:hint="default"/>
        <w:lang w:val="zh-CN" w:eastAsia="zh-CN" w:bidi="zh-CN"/>
      </w:rPr>
    </w:lvl>
    <w:lvl w:ilvl="2">
      <w:start w:val="0"/>
      <w:numFmt w:val="bullet"/>
      <w:lvlText w:val="•"/>
      <w:lvlJc w:val="left"/>
      <w:pPr>
        <w:ind w:left="1201" w:hanging="183"/>
      </w:pPr>
      <w:rPr>
        <w:rFonts w:hint="default"/>
        <w:lang w:val="zh-CN" w:eastAsia="zh-CN" w:bidi="zh-CN"/>
      </w:rPr>
    </w:lvl>
    <w:lvl w:ilvl="3">
      <w:start w:val="0"/>
      <w:numFmt w:val="bullet"/>
      <w:lvlText w:val="•"/>
      <w:lvlJc w:val="left"/>
      <w:pPr>
        <w:ind w:left="1661" w:hanging="183"/>
      </w:pPr>
      <w:rPr>
        <w:rFonts w:hint="default"/>
        <w:lang w:val="zh-CN" w:eastAsia="zh-CN" w:bidi="zh-CN"/>
      </w:rPr>
    </w:lvl>
    <w:lvl w:ilvl="4">
      <w:start w:val="0"/>
      <w:numFmt w:val="bullet"/>
      <w:lvlText w:val="•"/>
      <w:lvlJc w:val="left"/>
      <w:pPr>
        <w:ind w:left="2122" w:hanging="183"/>
      </w:pPr>
      <w:rPr>
        <w:rFonts w:hint="default"/>
        <w:lang w:val="zh-CN" w:eastAsia="zh-CN" w:bidi="zh-CN"/>
      </w:rPr>
    </w:lvl>
    <w:lvl w:ilvl="5">
      <w:start w:val="0"/>
      <w:numFmt w:val="bullet"/>
      <w:lvlText w:val="•"/>
      <w:lvlJc w:val="left"/>
      <w:pPr>
        <w:ind w:left="2582" w:hanging="183"/>
      </w:pPr>
      <w:rPr>
        <w:rFonts w:hint="default"/>
        <w:lang w:val="zh-CN" w:eastAsia="zh-CN" w:bidi="zh-CN"/>
      </w:rPr>
    </w:lvl>
    <w:lvl w:ilvl="6">
      <w:start w:val="0"/>
      <w:numFmt w:val="bullet"/>
      <w:lvlText w:val="•"/>
      <w:lvlJc w:val="left"/>
      <w:pPr>
        <w:ind w:left="3043" w:hanging="183"/>
      </w:pPr>
      <w:rPr>
        <w:rFonts w:hint="default"/>
        <w:lang w:val="zh-CN" w:eastAsia="zh-CN" w:bidi="zh-CN"/>
      </w:rPr>
    </w:lvl>
    <w:lvl w:ilvl="7">
      <w:start w:val="0"/>
      <w:numFmt w:val="bullet"/>
      <w:lvlText w:val="•"/>
      <w:lvlJc w:val="left"/>
      <w:pPr>
        <w:ind w:left="3503" w:hanging="183"/>
      </w:pPr>
      <w:rPr>
        <w:rFonts w:hint="default"/>
        <w:lang w:val="zh-CN" w:eastAsia="zh-CN" w:bidi="zh-CN"/>
      </w:rPr>
    </w:lvl>
    <w:lvl w:ilvl="8">
      <w:start w:val="0"/>
      <w:numFmt w:val="bullet"/>
      <w:lvlText w:val="•"/>
      <w:lvlJc w:val="left"/>
      <w:pPr>
        <w:ind w:left="3964" w:hanging="183"/>
      </w:pPr>
      <w:rPr>
        <w:rFonts w:hint="default"/>
        <w:lang w:val="zh-CN" w:eastAsia="zh-CN" w:bidi="zh-CN"/>
      </w:rPr>
    </w:lvl>
  </w:abstractNum>
  <w:abstractNum w:abstractNumId="11">
    <w:multiLevelType w:val="hybridMultilevel"/>
    <w:lvl w:ilvl="0">
      <w:start w:val="13"/>
      <w:numFmt w:val="decimal"/>
      <w:lvlText w:val="%1."/>
      <w:lvlJc w:val="left"/>
      <w:pPr>
        <w:ind w:left="498" w:hanging="318"/>
        <w:jc w:val="left"/>
      </w:pPr>
      <w:rPr>
        <w:rFonts w:hint="default" w:ascii="宋体" w:hAnsi="宋体" w:eastAsia="宋体" w:cs="宋体"/>
        <w:spacing w:val="-1"/>
        <w:w w:val="100"/>
        <w:sz w:val="19"/>
        <w:szCs w:val="19"/>
        <w:lang w:val="zh-CN" w:eastAsia="zh-CN" w:bidi="zh-CN"/>
      </w:rPr>
    </w:lvl>
    <w:lvl w:ilvl="1">
      <w:start w:val="1"/>
      <w:numFmt w:val="decimal"/>
      <w:lvlText w:val="%2."/>
      <w:lvlJc w:val="left"/>
      <w:pPr>
        <w:ind w:left="966" w:hanging="317"/>
        <w:jc w:val="left"/>
      </w:pPr>
      <w:rPr>
        <w:rFonts w:hint="default" w:ascii="宋体" w:hAnsi="宋体" w:eastAsia="宋体" w:cs="宋体"/>
        <w:w w:val="100"/>
        <w:sz w:val="21"/>
        <w:szCs w:val="21"/>
        <w:lang w:val="zh-CN" w:eastAsia="zh-CN" w:bidi="zh-CN"/>
      </w:rPr>
    </w:lvl>
    <w:lvl w:ilvl="2">
      <w:start w:val="0"/>
      <w:numFmt w:val="bullet"/>
      <w:lvlText w:val="•"/>
      <w:lvlJc w:val="left"/>
      <w:pPr>
        <w:ind w:left="1820" w:hanging="317"/>
      </w:pPr>
      <w:rPr>
        <w:rFonts w:hint="default"/>
        <w:lang w:val="zh-CN" w:eastAsia="zh-CN" w:bidi="zh-CN"/>
      </w:rPr>
    </w:lvl>
    <w:lvl w:ilvl="3">
      <w:start w:val="0"/>
      <w:numFmt w:val="bullet"/>
      <w:lvlText w:val="•"/>
      <w:lvlJc w:val="left"/>
      <w:pPr>
        <w:ind w:left="2681" w:hanging="317"/>
      </w:pPr>
      <w:rPr>
        <w:rFonts w:hint="default"/>
        <w:lang w:val="zh-CN" w:eastAsia="zh-CN" w:bidi="zh-CN"/>
      </w:rPr>
    </w:lvl>
    <w:lvl w:ilvl="4">
      <w:start w:val="0"/>
      <w:numFmt w:val="bullet"/>
      <w:lvlText w:val="•"/>
      <w:lvlJc w:val="left"/>
      <w:pPr>
        <w:ind w:left="3542" w:hanging="317"/>
      </w:pPr>
      <w:rPr>
        <w:rFonts w:hint="default"/>
        <w:lang w:val="zh-CN" w:eastAsia="zh-CN" w:bidi="zh-CN"/>
      </w:rPr>
    </w:lvl>
    <w:lvl w:ilvl="5">
      <w:start w:val="0"/>
      <w:numFmt w:val="bullet"/>
      <w:lvlText w:val="•"/>
      <w:lvlJc w:val="left"/>
      <w:pPr>
        <w:ind w:left="4402" w:hanging="317"/>
      </w:pPr>
      <w:rPr>
        <w:rFonts w:hint="default"/>
        <w:lang w:val="zh-CN" w:eastAsia="zh-CN" w:bidi="zh-CN"/>
      </w:rPr>
    </w:lvl>
    <w:lvl w:ilvl="6">
      <w:start w:val="0"/>
      <w:numFmt w:val="bullet"/>
      <w:lvlText w:val="•"/>
      <w:lvlJc w:val="left"/>
      <w:pPr>
        <w:ind w:left="5263" w:hanging="317"/>
      </w:pPr>
      <w:rPr>
        <w:rFonts w:hint="default"/>
        <w:lang w:val="zh-CN" w:eastAsia="zh-CN" w:bidi="zh-CN"/>
      </w:rPr>
    </w:lvl>
    <w:lvl w:ilvl="7">
      <w:start w:val="0"/>
      <w:numFmt w:val="bullet"/>
      <w:lvlText w:val="•"/>
      <w:lvlJc w:val="left"/>
      <w:pPr>
        <w:ind w:left="6124" w:hanging="317"/>
      </w:pPr>
      <w:rPr>
        <w:rFonts w:hint="default"/>
        <w:lang w:val="zh-CN" w:eastAsia="zh-CN" w:bidi="zh-CN"/>
      </w:rPr>
    </w:lvl>
    <w:lvl w:ilvl="8">
      <w:start w:val="0"/>
      <w:numFmt w:val="bullet"/>
      <w:lvlText w:val="•"/>
      <w:lvlJc w:val="left"/>
      <w:pPr>
        <w:ind w:left="6984" w:hanging="317"/>
      </w:pPr>
      <w:rPr>
        <w:rFonts w:hint="default"/>
        <w:lang w:val="zh-CN" w:eastAsia="zh-CN" w:bidi="zh-CN"/>
      </w:rPr>
    </w:lvl>
  </w:abstractNum>
  <w:abstractNum w:abstractNumId="10">
    <w:multiLevelType w:val="hybridMultilevel"/>
    <w:lvl w:ilvl="0">
      <w:start w:val="1"/>
      <w:numFmt w:val="decimal"/>
      <w:lvlText w:val="%1."/>
      <w:lvlJc w:val="left"/>
      <w:pPr>
        <w:ind w:left="392" w:hanging="213"/>
        <w:jc w:val="left"/>
      </w:pPr>
      <w:rPr>
        <w:rFonts w:hint="default" w:ascii="宋体" w:hAnsi="宋体" w:eastAsia="宋体" w:cs="宋体"/>
        <w:spacing w:val="-1"/>
        <w:w w:val="100"/>
        <w:sz w:val="19"/>
        <w:szCs w:val="19"/>
        <w:lang w:val="zh-CN" w:eastAsia="zh-CN" w:bidi="zh-CN"/>
      </w:rPr>
    </w:lvl>
    <w:lvl w:ilvl="1">
      <w:start w:val="0"/>
      <w:numFmt w:val="bullet"/>
      <w:lvlText w:val="•"/>
      <w:lvlJc w:val="left"/>
      <w:pPr>
        <w:ind w:left="1230" w:hanging="213"/>
      </w:pPr>
      <w:rPr>
        <w:rFonts w:hint="default"/>
        <w:lang w:val="zh-CN" w:eastAsia="zh-CN" w:bidi="zh-CN"/>
      </w:rPr>
    </w:lvl>
    <w:lvl w:ilvl="2">
      <w:start w:val="0"/>
      <w:numFmt w:val="bullet"/>
      <w:lvlText w:val="•"/>
      <w:lvlJc w:val="left"/>
      <w:pPr>
        <w:ind w:left="2061" w:hanging="213"/>
      </w:pPr>
      <w:rPr>
        <w:rFonts w:hint="default"/>
        <w:lang w:val="zh-CN" w:eastAsia="zh-CN" w:bidi="zh-CN"/>
      </w:rPr>
    </w:lvl>
    <w:lvl w:ilvl="3">
      <w:start w:val="0"/>
      <w:numFmt w:val="bullet"/>
      <w:lvlText w:val="•"/>
      <w:lvlJc w:val="left"/>
      <w:pPr>
        <w:ind w:left="2891" w:hanging="213"/>
      </w:pPr>
      <w:rPr>
        <w:rFonts w:hint="default"/>
        <w:lang w:val="zh-CN" w:eastAsia="zh-CN" w:bidi="zh-CN"/>
      </w:rPr>
    </w:lvl>
    <w:lvl w:ilvl="4">
      <w:start w:val="0"/>
      <w:numFmt w:val="bullet"/>
      <w:lvlText w:val="•"/>
      <w:lvlJc w:val="left"/>
      <w:pPr>
        <w:ind w:left="3722" w:hanging="213"/>
      </w:pPr>
      <w:rPr>
        <w:rFonts w:hint="default"/>
        <w:lang w:val="zh-CN" w:eastAsia="zh-CN" w:bidi="zh-CN"/>
      </w:rPr>
    </w:lvl>
    <w:lvl w:ilvl="5">
      <w:start w:val="0"/>
      <w:numFmt w:val="bullet"/>
      <w:lvlText w:val="•"/>
      <w:lvlJc w:val="left"/>
      <w:pPr>
        <w:ind w:left="4553" w:hanging="213"/>
      </w:pPr>
      <w:rPr>
        <w:rFonts w:hint="default"/>
        <w:lang w:val="zh-CN" w:eastAsia="zh-CN" w:bidi="zh-CN"/>
      </w:rPr>
    </w:lvl>
    <w:lvl w:ilvl="6">
      <w:start w:val="0"/>
      <w:numFmt w:val="bullet"/>
      <w:lvlText w:val="•"/>
      <w:lvlJc w:val="left"/>
      <w:pPr>
        <w:ind w:left="5383" w:hanging="213"/>
      </w:pPr>
      <w:rPr>
        <w:rFonts w:hint="default"/>
        <w:lang w:val="zh-CN" w:eastAsia="zh-CN" w:bidi="zh-CN"/>
      </w:rPr>
    </w:lvl>
    <w:lvl w:ilvl="7">
      <w:start w:val="0"/>
      <w:numFmt w:val="bullet"/>
      <w:lvlText w:val="•"/>
      <w:lvlJc w:val="left"/>
      <w:pPr>
        <w:ind w:left="6214" w:hanging="213"/>
      </w:pPr>
      <w:rPr>
        <w:rFonts w:hint="default"/>
        <w:lang w:val="zh-CN" w:eastAsia="zh-CN" w:bidi="zh-CN"/>
      </w:rPr>
    </w:lvl>
    <w:lvl w:ilvl="8">
      <w:start w:val="0"/>
      <w:numFmt w:val="bullet"/>
      <w:lvlText w:val="•"/>
      <w:lvlJc w:val="left"/>
      <w:pPr>
        <w:ind w:left="7045" w:hanging="213"/>
      </w:pPr>
      <w:rPr>
        <w:rFonts w:hint="default"/>
        <w:lang w:val="zh-CN" w:eastAsia="zh-CN" w:bidi="zh-CN"/>
      </w:rPr>
    </w:lvl>
  </w:abstractNum>
  <w:abstractNum w:abstractNumId="9">
    <w:multiLevelType w:val="hybridMultilevel"/>
    <w:lvl w:ilvl="0">
      <w:start w:val="1"/>
      <w:numFmt w:val="decimal"/>
      <w:lvlText w:val="（%1）"/>
      <w:lvlJc w:val="left"/>
      <w:pPr>
        <w:ind w:left="180" w:hanging="529"/>
        <w:jc w:val="left"/>
      </w:pPr>
      <w:rPr>
        <w:rFonts w:hint="default" w:ascii="宋体" w:hAnsi="宋体" w:eastAsia="宋体" w:cs="宋体"/>
        <w:w w:val="100"/>
        <w:sz w:val="19"/>
        <w:szCs w:val="19"/>
        <w:lang w:val="zh-CN" w:eastAsia="zh-CN" w:bidi="zh-CN"/>
      </w:rPr>
    </w:lvl>
    <w:lvl w:ilvl="1">
      <w:start w:val="0"/>
      <w:numFmt w:val="bullet"/>
      <w:lvlText w:val="•"/>
      <w:lvlJc w:val="left"/>
      <w:pPr>
        <w:ind w:left="1032" w:hanging="529"/>
      </w:pPr>
      <w:rPr>
        <w:rFonts w:hint="default"/>
        <w:lang w:val="zh-CN" w:eastAsia="zh-CN" w:bidi="zh-CN"/>
      </w:rPr>
    </w:lvl>
    <w:lvl w:ilvl="2">
      <w:start w:val="0"/>
      <w:numFmt w:val="bullet"/>
      <w:lvlText w:val="•"/>
      <w:lvlJc w:val="left"/>
      <w:pPr>
        <w:ind w:left="1885" w:hanging="529"/>
      </w:pPr>
      <w:rPr>
        <w:rFonts w:hint="default"/>
        <w:lang w:val="zh-CN" w:eastAsia="zh-CN" w:bidi="zh-CN"/>
      </w:rPr>
    </w:lvl>
    <w:lvl w:ilvl="3">
      <w:start w:val="0"/>
      <w:numFmt w:val="bullet"/>
      <w:lvlText w:val="•"/>
      <w:lvlJc w:val="left"/>
      <w:pPr>
        <w:ind w:left="2737" w:hanging="529"/>
      </w:pPr>
      <w:rPr>
        <w:rFonts w:hint="default"/>
        <w:lang w:val="zh-CN" w:eastAsia="zh-CN" w:bidi="zh-CN"/>
      </w:rPr>
    </w:lvl>
    <w:lvl w:ilvl="4">
      <w:start w:val="0"/>
      <w:numFmt w:val="bullet"/>
      <w:lvlText w:val="•"/>
      <w:lvlJc w:val="left"/>
      <w:pPr>
        <w:ind w:left="3590" w:hanging="529"/>
      </w:pPr>
      <w:rPr>
        <w:rFonts w:hint="default"/>
        <w:lang w:val="zh-CN" w:eastAsia="zh-CN" w:bidi="zh-CN"/>
      </w:rPr>
    </w:lvl>
    <w:lvl w:ilvl="5">
      <w:start w:val="0"/>
      <w:numFmt w:val="bullet"/>
      <w:lvlText w:val="•"/>
      <w:lvlJc w:val="left"/>
      <w:pPr>
        <w:ind w:left="4443" w:hanging="529"/>
      </w:pPr>
      <w:rPr>
        <w:rFonts w:hint="default"/>
        <w:lang w:val="zh-CN" w:eastAsia="zh-CN" w:bidi="zh-CN"/>
      </w:rPr>
    </w:lvl>
    <w:lvl w:ilvl="6">
      <w:start w:val="0"/>
      <w:numFmt w:val="bullet"/>
      <w:lvlText w:val="•"/>
      <w:lvlJc w:val="left"/>
      <w:pPr>
        <w:ind w:left="5295" w:hanging="529"/>
      </w:pPr>
      <w:rPr>
        <w:rFonts w:hint="default"/>
        <w:lang w:val="zh-CN" w:eastAsia="zh-CN" w:bidi="zh-CN"/>
      </w:rPr>
    </w:lvl>
    <w:lvl w:ilvl="7">
      <w:start w:val="0"/>
      <w:numFmt w:val="bullet"/>
      <w:lvlText w:val="•"/>
      <w:lvlJc w:val="left"/>
      <w:pPr>
        <w:ind w:left="6148" w:hanging="529"/>
      </w:pPr>
      <w:rPr>
        <w:rFonts w:hint="default"/>
        <w:lang w:val="zh-CN" w:eastAsia="zh-CN" w:bidi="zh-CN"/>
      </w:rPr>
    </w:lvl>
    <w:lvl w:ilvl="8">
      <w:start w:val="0"/>
      <w:numFmt w:val="bullet"/>
      <w:lvlText w:val="•"/>
      <w:lvlJc w:val="left"/>
      <w:pPr>
        <w:ind w:left="7001" w:hanging="529"/>
      </w:pPr>
      <w:rPr>
        <w:rFonts w:hint="default"/>
        <w:lang w:val="zh-CN" w:eastAsia="zh-CN" w:bidi="zh-CN"/>
      </w:rPr>
    </w:lvl>
  </w:abstractNum>
  <w:abstractNum w:abstractNumId="8">
    <w:multiLevelType w:val="hybridMultilevel"/>
    <w:lvl w:ilvl="0">
      <w:start w:val="1"/>
      <w:numFmt w:val="decimal"/>
      <w:lvlText w:val="（%1）"/>
      <w:lvlJc w:val="left"/>
      <w:pPr>
        <w:ind w:left="180" w:hanging="598"/>
        <w:jc w:val="left"/>
      </w:pPr>
      <w:rPr>
        <w:rFonts w:hint="default" w:ascii="宋体" w:hAnsi="宋体" w:eastAsia="宋体" w:cs="宋体"/>
        <w:spacing w:val="-3"/>
        <w:w w:val="100"/>
        <w:sz w:val="21"/>
        <w:szCs w:val="21"/>
        <w:lang w:val="zh-CN" w:eastAsia="zh-CN" w:bidi="zh-CN"/>
      </w:rPr>
    </w:lvl>
    <w:lvl w:ilvl="1">
      <w:start w:val="0"/>
      <w:numFmt w:val="bullet"/>
      <w:lvlText w:val="•"/>
      <w:lvlJc w:val="left"/>
      <w:pPr>
        <w:ind w:left="1032" w:hanging="598"/>
      </w:pPr>
      <w:rPr>
        <w:rFonts w:hint="default"/>
        <w:lang w:val="zh-CN" w:eastAsia="zh-CN" w:bidi="zh-CN"/>
      </w:rPr>
    </w:lvl>
    <w:lvl w:ilvl="2">
      <w:start w:val="0"/>
      <w:numFmt w:val="bullet"/>
      <w:lvlText w:val="•"/>
      <w:lvlJc w:val="left"/>
      <w:pPr>
        <w:ind w:left="1885" w:hanging="598"/>
      </w:pPr>
      <w:rPr>
        <w:rFonts w:hint="default"/>
        <w:lang w:val="zh-CN" w:eastAsia="zh-CN" w:bidi="zh-CN"/>
      </w:rPr>
    </w:lvl>
    <w:lvl w:ilvl="3">
      <w:start w:val="0"/>
      <w:numFmt w:val="bullet"/>
      <w:lvlText w:val="•"/>
      <w:lvlJc w:val="left"/>
      <w:pPr>
        <w:ind w:left="2737" w:hanging="598"/>
      </w:pPr>
      <w:rPr>
        <w:rFonts w:hint="default"/>
        <w:lang w:val="zh-CN" w:eastAsia="zh-CN" w:bidi="zh-CN"/>
      </w:rPr>
    </w:lvl>
    <w:lvl w:ilvl="4">
      <w:start w:val="0"/>
      <w:numFmt w:val="bullet"/>
      <w:lvlText w:val="•"/>
      <w:lvlJc w:val="left"/>
      <w:pPr>
        <w:ind w:left="3590" w:hanging="598"/>
      </w:pPr>
      <w:rPr>
        <w:rFonts w:hint="default"/>
        <w:lang w:val="zh-CN" w:eastAsia="zh-CN" w:bidi="zh-CN"/>
      </w:rPr>
    </w:lvl>
    <w:lvl w:ilvl="5">
      <w:start w:val="0"/>
      <w:numFmt w:val="bullet"/>
      <w:lvlText w:val="•"/>
      <w:lvlJc w:val="left"/>
      <w:pPr>
        <w:ind w:left="4443" w:hanging="598"/>
      </w:pPr>
      <w:rPr>
        <w:rFonts w:hint="default"/>
        <w:lang w:val="zh-CN" w:eastAsia="zh-CN" w:bidi="zh-CN"/>
      </w:rPr>
    </w:lvl>
    <w:lvl w:ilvl="6">
      <w:start w:val="0"/>
      <w:numFmt w:val="bullet"/>
      <w:lvlText w:val="•"/>
      <w:lvlJc w:val="left"/>
      <w:pPr>
        <w:ind w:left="5295" w:hanging="598"/>
      </w:pPr>
      <w:rPr>
        <w:rFonts w:hint="default"/>
        <w:lang w:val="zh-CN" w:eastAsia="zh-CN" w:bidi="zh-CN"/>
      </w:rPr>
    </w:lvl>
    <w:lvl w:ilvl="7">
      <w:start w:val="0"/>
      <w:numFmt w:val="bullet"/>
      <w:lvlText w:val="•"/>
      <w:lvlJc w:val="left"/>
      <w:pPr>
        <w:ind w:left="6148" w:hanging="598"/>
      </w:pPr>
      <w:rPr>
        <w:rFonts w:hint="default"/>
        <w:lang w:val="zh-CN" w:eastAsia="zh-CN" w:bidi="zh-CN"/>
      </w:rPr>
    </w:lvl>
    <w:lvl w:ilvl="8">
      <w:start w:val="0"/>
      <w:numFmt w:val="bullet"/>
      <w:lvlText w:val="•"/>
      <w:lvlJc w:val="left"/>
      <w:pPr>
        <w:ind w:left="7001" w:hanging="598"/>
      </w:pPr>
      <w:rPr>
        <w:rFonts w:hint="default"/>
        <w:lang w:val="zh-CN" w:eastAsia="zh-CN" w:bidi="zh-CN"/>
      </w:rPr>
    </w:lvl>
  </w:abstractNum>
  <w:abstractNum w:abstractNumId="7">
    <w:multiLevelType w:val="hybridMultilevel"/>
    <w:lvl w:ilvl="0">
      <w:start w:val="1"/>
      <w:numFmt w:val="decimal"/>
      <w:lvlText w:val="（%1）"/>
      <w:lvlJc w:val="left"/>
      <w:pPr>
        <w:ind w:left="112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78" w:hanging="529"/>
      </w:pPr>
      <w:rPr>
        <w:rFonts w:hint="default"/>
        <w:lang w:val="zh-CN" w:eastAsia="zh-CN" w:bidi="zh-CN"/>
      </w:rPr>
    </w:lvl>
    <w:lvl w:ilvl="2">
      <w:start w:val="0"/>
      <w:numFmt w:val="bullet"/>
      <w:lvlText w:val="•"/>
      <w:lvlJc w:val="left"/>
      <w:pPr>
        <w:ind w:left="2637" w:hanging="529"/>
      </w:pPr>
      <w:rPr>
        <w:rFonts w:hint="default"/>
        <w:lang w:val="zh-CN" w:eastAsia="zh-CN" w:bidi="zh-CN"/>
      </w:rPr>
    </w:lvl>
    <w:lvl w:ilvl="3">
      <w:start w:val="0"/>
      <w:numFmt w:val="bullet"/>
      <w:lvlText w:val="•"/>
      <w:lvlJc w:val="left"/>
      <w:pPr>
        <w:ind w:left="3395" w:hanging="529"/>
      </w:pPr>
      <w:rPr>
        <w:rFonts w:hint="default"/>
        <w:lang w:val="zh-CN" w:eastAsia="zh-CN" w:bidi="zh-CN"/>
      </w:rPr>
    </w:lvl>
    <w:lvl w:ilvl="4">
      <w:start w:val="0"/>
      <w:numFmt w:val="bullet"/>
      <w:lvlText w:val="•"/>
      <w:lvlJc w:val="left"/>
      <w:pPr>
        <w:ind w:left="4154" w:hanging="529"/>
      </w:pPr>
      <w:rPr>
        <w:rFonts w:hint="default"/>
        <w:lang w:val="zh-CN" w:eastAsia="zh-CN" w:bidi="zh-CN"/>
      </w:rPr>
    </w:lvl>
    <w:lvl w:ilvl="5">
      <w:start w:val="0"/>
      <w:numFmt w:val="bullet"/>
      <w:lvlText w:val="•"/>
      <w:lvlJc w:val="left"/>
      <w:pPr>
        <w:ind w:left="4913" w:hanging="529"/>
      </w:pPr>
      <w:rPr>
        <w:rFonts w:hint="default"/>
        <w:lang w:val="zh-CN" w:eastAsia="zh-CN" w:bidi="zh-CN"/>
      </w:rPr>
    </w:lvl>
    <w:lvl w:ilvl="6">
      <w:start w:val="0"/>
      <w:numFmt w:val="bullet"/>
      <w:lvlText w:val="•"/>
      <w:lvlJc w:val="left"/>
      <w:pPr>
        <w:ind w:left="5671" w:hanging="529"/>
      </w:pPr>
      <w:rPr>
        <w:rFonts w:hint="default"/>
        <w:lang w:val="zh-CN" w:eastAsia="zh-CN" w:bidi="zh-CN"/>
      </w:rPr>
    </w:lvl>
    <w:lvl w:ilvl="7">
      <w:start w:val="0"/>
      <w:numFmt w:val="bullet"/>
      <w:lvlText w:val="•"/>
      <w:lvlJc w:val="left"/>
      <w:pPr>
        <w:ind w:left="6430" w:hanging="529"/>
      </w:pPr>
      <w:rPr>
        <w:rFonts w:hint="default"/>
        <w:lang w:val="zh-CN" w:eastAsia="zh-CN" w:bidi="zh-CN"/>
      </w:rPr>
    </w:lvl>
    <w:lvl w:ilvl="8">
      <w:start w:val="0"/>
      <w:numFmt w:val="bullet"/>
      <w:lvlText w:val="•"/>
      <w:lvlJc w:val="left"/>
      <w:pPr>
        <w:ind w:left="7189" w:hanging="529"/>
      </w:pPr>
      <w:rPr>
        <w:rFonts w:hint="default"/>
        <w:lang w:val="zh-CN" w:eastAsia="zh-CN" w:bidi="zh-CN"/>
      </w:rPr>
    </w:lvl>
  </w:abstractNum>
  <w:abstractNum w:abstractNumId="6">
    <w:multiLevelType w:val="hybridMultilevel"/>
    <w:lvl w:ilvl="0">
      <w:start w:val="1"/>
      <w:numFmt w:val="decimal"/>
      <w:lvlText w:val="%1."/>
      <w:lvlJc w:val="left"/>
      <w:pPr>
        <w:ind w:left="180" w:hanging="213"/>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032" w:hanging="213"/>
      </w:pPr>
      <w:rPr>
        <w:rFonts w:hint="default"/>
        <w:lang w:val="zh-CN" w:eastAsia="zh-CN" w:bidi="zh-CN"/>
      </w:rPr>
    </w:lvl>
    <w:lvl w:ilvl="2">
      <w:start w:val="0"/>
      <w:numFmt w:val="bullet"/>
      <w:lvlText w:val="•"/>
      <w:lvlJc w:val="left"/>
      <w:pPr>
        <w:ind w:left="1885" w:hanging="213"/>
      </w:pPr>
      <w:rPr>
        <w:rFonts w:hint="default"/>
        <w:lang w:val="zh-CN" w:eastAsia="zh-CN" w:bidi="zh-CN"/>
      </w:rPr>
    </w:lvl>
    <w:lvl w:ilvl="3">
      <w:start w:val="0"/>
      <w:numFmt w:val="bullet"/>
      <w:lvlText w:val="•"/>
      <w:lvlJc w:val="left"/>
      <w:pPr>
        <w:ind w:left="2737" w:hanging="213"/>
      </w:pPr>
      <w:rPr>
        <w:rFonts w:hint="default"/>
        <w:lang w:val="zh-CN" w:eastAsia="zh-CN" w:bidi="zh-CN"/>
      </w:rPr>
    </w:lvl>
    <w:lvl w:ilvl="4">
      <w:start w:val="0"/>
      <w:numFmt w:val="bullet"/>
      <w:lvlText w:val="•"/>
      <w:lvlJc w:val="left"/>
      <w:pPr>
        <w:ind w:left="3590" w:hanging="213"/>
      </w:pPr>
      <w:rPr>
        <w:rFonts w:hint="default"/>
        <w:lang w:val="zh-CN" w:eastAsia="zh-CN" w:bidi="zh-CN"/>
      </w:rPr>
    </w:lvl>
    <w:lvl w:ilvl="5">
      <w:start w:val="0"/>
      <w:numFmt w:val="bullet"/>
      <w:lvlText w:val="•"/>
      <w:lvlJc w:val="left"/>
      <w:pPr>
        <w:ind w:left="4443" w:hanging="213"/>
      </w:pPr>
      <w:rPr>
        <w:rFonts w:hint="default"/>
        <w:lang w:val="zh-CN" w:eastAsia="zh-CN" w:bidi="zh-CN"/>
      </w:rPr>
    </w:lvl>
    <w:lvl w:ilvl="6">
      <w:start w:val="0"/>
      <w:numFmt w:val="bullet"/>
      <w:lvlText w:val="•"/>
      <w:lvlJc w:val="left"/>
      <w:pPr>
        <w:ind w:left="5295" w:hanging="213"/>
      </w:pPr>
      <w:rPr>
        <w:rFonts w:hint="default"/>
        <w:lang w:val="zh-CN" w:eastAsia="zh-CN" w:bidi="zh-CN"/>
      </w:rPr>
    </w:lvl>
    <w:lvl w:ilvl="7">
      <w:start w:val="0"/>
      <w:numFmt w:val="bullet"/>
      <w:lvlText w:val="•"/>
      <w:lvlJc w:val="left"/>
      <w:pPr>
        <w:ind w:left="6148" w:hanging="213"/>
      </w:pPr>
      <w:rPr>
        <w:rFonts w:hint="default"/>
        <w:lang w:val="zh-CN" w:eastAsia="zh-CN" w:bidi="zh-CN"/>
      </w:rPr>
    </w:lvl>
    <w:lvl w:ilvl="8">
      <w:start w:val="0"/>
      <w:numFmt w:val="bullet"/>
      <w:lvlText w:val="•"/>
      <w:lvlJc w:val="left"/>
      <w:pPr>
        <w:ind w:left="7001" w:hanging="213"/>
      </w:pPr>
      <w:rPr>
        <w:rFonts w:hint="default"/>
        <w:lang w:val="zh-CN" w:eastAsia="zh-CN" w:bidi="zh-CN"/>
      </w:rPr>
    </w:lvl>
  </w:abstractNum>
  <w:abstractNum w:abstractNumId="5">
    <w:multiLevelType w:val="hybridMultilevel"/>
    <w:lvl w:ilvl="0">
      <w:start w:val="1"/>
      <w:numFmt w:val="decimal"/>
      <w:lvlText w:val="%1."/>
      <w:lvlJc w:val="left"/>
      <w:pPr>
        <w:ind w:left="180" w:hanging="213"/>
        <w:jc w:val="left"/>
      </w:pPr>
      <w:rPr>
        <w:rFonts w:hint="default" w:ascii="宋体" w:hAnsi="宋体" w:eastAsia="宋体" w:cs="宋体"/>
        <w:spacing w:val="-108"/>
        <w:w w:val="100"/>
        <w:sz w:val="19"/>
        <w:szCs w:val="19"/>
        <w:lang w:val="zh-CN" w:eastAsia="zh-CN" w:bidi="zh-CN"/>
      </w:rPr>
    </w:lvl>
    <w:lvl w:ilvl="1">
      <w:start w:val="0"/>
      <w:numFmt w:val="bullet"/>
      <w:lvlText w:val="•"/>
      <w:lvlJc w:val="left"/>
      <w:pPr>
        <w:ind w:left="1032" w:hanging="213"/>
      </w:pPr>
      <w:rPr>
        <w:rFonts w:hint="default"/>
        <w:lang w:val="zh-CN" w:eastAsia="zh-CN" w:bidi="zh-CN"/>
      </w:rPr>
    </w:lvl>
    <w:lvl w:ilvl="2">
      <w:start w:val="0"/>
      <w:numFmt w:val="bullet"/>
      <w:lvlText w:val="•"/>
      <w:lvlJc w:val="left"/>
      <w:pPr>
        <w:ind w:left="1885" w:hanging="213"/>
      </w:pPr>
      <w:rPr>
        <w:rFonts w:hint="default"/>
        <w:lang w:val="zh-CN" w:eastAsia="zh-CN" w:bidi="zh-CN"/>
      </w:rPr>
    </w:lvl>
    <w:lvl w:ilvl="3">
      <w:start w:val="0"/>
      <w:numFmt w:val="bullet"/>
      <w:lvlText w:val="•"/>
      <w:lvlJc w:val="left"/>
      <w:pPr>
        <w:ind w:left="2737" w:hanging="213"/>
      </w:pPr>
      <w:rPr>
        <w:rFonts w:hint="default"/>
        <w:lang w:val="zh-CN" w:eastAsia="zh-CN" w:bidi="zh-CN"/>
      </w:rPr>
    </w:lvl>
    <w:lvl w:ilvl="4">
      <w:start w:val="0"/>
      <w:numFmt w:val="bullet"/>
      <w:lvlText w:val="•"/>
      <w:lvlJc w:val="left"/>
      <w:pPr>
        <w:ind w:left="3590" w:hanging="213"/>
      </w:pPr>
      <w:rPr>
        <w:rFonts w:hint="default"/>
        <w:lang w:val="zh-CN" w:eastAsia="zh-CN" w:bidi="zh-CN"/>
      </w:rPr>
    </w:lvl>
    <w:lvl w:ilvl="5">
      <w:start w:val="0"/>
      <w:numFmt w:val="bullet"/>
      <w:lvlText w:val="•"/>
      <w:lvlJc w:val="left"/>
      <w:pPr>
        <w:ind w:left="4443" w:hanging="213"/>
      </w:pPr>
      <w:rPr>
        <w:rFonts w:hint="default"/>
        <w:lang w:val="zh-CN" w:eastAsia="zh-CN" w:bidi="zh-CN"/>
      </w:rPr>
    </w:lvl>
    <w:lvl w:ilvl="6">
      <w:start w:val="0"/>
      <w:numFmt w:val="bullet"/>
      <w:lvlText w:val="•"/>
      <w:lvlJc w:val="left"/>
      <w:pPr>
        <w:ind w:left="5295" w:hanging="213"/>
      </w:pPr>
      <w:rPr>
        <w:rFonts w:hint="default"/>
        <w:lang w:val="zh-CN" w:eastAsia="zh-CN" w:bidi="zh-CN"/>
      </w:rPr>
    </w:lvl>
    <w:lvl w:ilvl="7">
      <w:start w:val="0"/>
      <w:numFmt w:val="bullet"/>
      <w:lvlText w:val="•"/>
      <w:lvlJc w:val="left"/>
      <w:pPr>
        <w:ind w:left="6148" w:hanging="213"/>
      </w:pPr>
      <w:rPr>
        <w:rFonts w:hint="default"/>
        <w:lang w:val="zh-CN" w:eastAsia="zh-CN" w:bidi="zh-CN"/>
      </w:rPr>
    </w:lvl>
    <w:lvl w:ilvl="8">
      <w:start w:val="0"/>
      <w:numFmt w:val="bullet"/>
      <w:lvlText w:val="•"/>
      <w:lvlJc w:val="left"/>
      <w:pPr>
        <w:ind w:left="7001" w:hanging="213"/>
      </w:pPr>
      <w:rPr>
        <w:rFonts w:hint="default"/>
        <w:lang w:val="zh-CN" w:eastAsia="zh-CN" w:bidi="zh-CN"/>
      </w:rPr>
    </w:lvl>
  </w:abstractNum>
  <w:abstractNum w:abstractNumId="4">
    <w:multiLevelType w:val="hybridMultilevel"/>
    <w:lvl w:ilvl="0">
      <w:start w:val="1"/>
      <w:numFmt w:val="decimal"/>
      <w:lvlText w:val="%1."/>
      <w:lvlJc w:val="left"/>
      <w:pPr>
        <w:ind w:left="180" w:hanging="213"/>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032" w:hanging="213"/>
      </w:pPr>
      <w:rPr>
        <w:rFonts w:hint="default"/>
        <w:lang w:val="zh-CN" w:eastAsia="zh-CN" w:bidi="zh-CN"/>
      </w:rPr>
    </w:lvl>
    <w:lvl w:ilvl="2">
      <w:start w:val="0"/>
      <w:numFmt w:val="bullet"/>
      <w:lvlText w:val="•"/>
      <w:lvlJc w:val="left"/>
      <w:pPr>
        <w:ind w:left="1885" w:hanging="213"/>
      </w:pPr>
      <w:rPr>
        <w:rFonts w:hint="default"/>
        <w:lang w:val="zh-CN" w:eastAsia="zh-CN" w:bidi="zh-CN"/>
      </w:rPr>
    </w:lvl>
    <w:lvl w:ilvl="3">
      <w:start w:val="0"/>
      <w:numFmt w:val="bullet"/>
      <w:lvlText w:val="•"/>
      <w:lvlJc w:val="left"/>
      <w:pPr>
        <w:ind w:left="2737" w:hanging="213"/>
      </w:pPr>
      <w:rPr>
        <w:rFonts w:hint="default"/>
        <w:lang w:val="zh-CN" w:eastAsia="zh-CN" w:bidi="zh-CN"/>
      </w:rPr>
    </w:lvl>
    <w:lvl w:ilvl="4">
      <w:start w:val="0"/>
      <w:numFmt w:val="bullet"/>
      <w:lvlText w:val="•"/>
      <w:lvlJc w:val="left"/>
      <w:pPr>
        <w:ind w:left="3590" w:hanging="213"/>
      </w:pPr>
      <w:rPr>
        <w:rFonts w:hint="default"/>
        <w:lang w:val="zh-CN" w:eastAsia="zh-CN" w:bidi="zh-CN"/>
      </w:rPr>
    </w:lvl>
    <w:lvl w:ilvl="5">
      <w:start w:val="0"/>
      <w:numFmt w:val="bullet"/>
      <w:lvlText w:val="•"/>
      <w:lvlJc w:val="left"/>
      <w:pPr>
        <w:ind w:left="4443" w:hanging="213"/>
      </w:pPr>
      <w:rPr>
        <w:rFonts w:hint="default"/>
        <w:lang w:val="zh-CN" w:eastAsia="zh-CN" w:bidi="zh-CN"/>
      </w:rPr>
    </w:lvl>
    <w:lvl w:ilvl="6">
      <w:start w:val="0"/>
      <w:numFmt w:val="bullet"/>
      <w:lvlText w:val="•"/>
      <w:lvlJc w:val="left"/>
      <w:pPr>
        <w:ind w:left="5295" w:hanging="213"/>
      </w:pPr>
      <w:rPr>
        <w:rFonts w:hint="default"/>
        <w:lang w:val="zh-CN" w:eastAsia="zh-CN" w:bidi="zh-CN"/>
      </w:rPr>
    </w:lvl>
    <w:lvl w:ilvl="7">
      <w:start w:val="0"/>
      <w:numFmt w:val="bullet"/>
      <w:lvlText w:val="•"/>
      <w:lvlJc w:val="left"/>
      <w:pPr>
        <w:ind w:left="6148" w:hanging="213"/>
      </w:pPr>
      <w:rPr>
        <w:rFonts w:hint="default"/>
        <w:lang w:val="zh-CN" w:eastAsia="zh-CN" w:bidi="zh-CN"/>
      </w:rPr>
    </w:lvl>
    <w:lvl w:ilvl="8">
      <w:start w:val="0"/>
      <w:numFmt w:val="bullet"/>
      <w:lvlText w:val="•"/>
      <w:lvlJc w:val="left"/>
      <w:pPr>
        <w:ind w:left="7001" w:hanging="213"/>
      </w:pPr>
      <w:rPr>
        <w:rFonts w:hint="default"/>
        <w:lang w:val="zh-CN" w:eastAsia="zh-CN" w:bidi="zh-CN"/>
      </w:rPr>
    </w:lvl>
  </w:abstractNum>
  <w:abstractNum w:abstractNumId="3">
    <w:multiLevelType w:val="hybridMultilevel"/>
    <w:lvl w:ilvl="0">
      <w:start w:val="1"/>
      <w:numFmt w:val="decimal"/>
      <w:lvlText w:val="%1."/>
      <w:lvlJc w:val="left"/>
      <w:pPr>
        <w:ind w:left="180" w:hanging="213"/>
        <w:jc w:val="left"/>
      </w:pPr>
      <w:rPr>
        <w:rFonts w:hint="default" w:ascii="宋体" w:hAnsi="宋体" w:eastAsia="宋体" w:cs="宋体"/>
        <w:spacing w:val="-97"/>
        <w:w w:val="100"/>
        <w:sz w:val="19"/>
        <w:szCs w:val="19"/>
        <w:lang w:val="zh-CN" w:eastAsia="zh-CN" w:bidi="zh-CN"/>
      </w:rPr>
    </w:lvl>
    <w:lvl w:ilvl="1">
      <w:start w:val="0"/>
      <w:numFmt w:val="bullet"/>
      <w:lvlText w:val="•"/>
      <w:lvlJc w:val="left"/>
      <w:pPr>
        <w:ind w:left="1032" w:hanging="213"/>
      </w:pPr>
      <w:rPr>
        <w:rFonts w:hint="default"/>
        <w:lang w:val="zh-CN" w:eastAsia="zh-CN" w:bidi="zh-CN"/>
      </w:rPr>
    </w:lvl>
    <w:lvl w:ilvl="2">
      <w:start w:val="0"/>
      <w:numFmt w:val="bullet"/>
      <w:lvlText w:val="•"/>
      <w:lvlJc w:val="left"/>
      <w:pPr>
        <w:ind w:left="1885" w:hanging="213"/>
      </w:pPr>
      <w:rPr>
        <w:rFonts w:hint="default"/>
        <w:lang w:val="zh-CN" w:eastAsia="zh-CN" w:bidi="zh-CN"/>
      </w:rPr>
    </w:lvl>
    <w:lvl w:ilvl="3">
      <w:start w:val="0"/>
      <w:numFmt w:val="bullet"/>
      <w:lvlText w:val="•"/>
      <w:lvlJc w:val="left"/>
      <w:pPr>
        <w:ind w:left="2737" w:hanging="213"/>
      </w:pPr>
      <w:rPr>
        <w:rFonts w:hint="default"/>
        <w:lang w:val="zh-CN" w:eastAsia="zh-CN" w:bidi="zh-CN"/>
      </w:rPr>
    </w:lvl>
    <w:lvl w:ilvl="4">
      <w:start w:val="0"/>
      <w:numFmt w:val="bullet"/>
      <w:lvlText w:val="•"/>
      <w:lvlJc w:val="left"/>
      <w:pPr>
        <w:ind w:left="3590" w:hanging="213"/>
      </w:pPr>
      <w:rPr>
        <w:rFonts w:hint="default"/>
        <w:lang w:val="zh-CN" w:eastAsia="zh-CN" w:bidi="zh-CN"/>
      </w:rPr>
    </w:lvl>
    <w:lvl w:ilvl="5">
      <w:start w:val="0"/>
      <w:numFmt w:val="bullet"/>
      <w:lvlText w:val="•"/>
      <w:lvlJc w:val="left"/>
      <w:pPr>
        <w:ind w:left="4443" w:hanging="213"/>
      </w:pPr>
      <w:rPr>
        <w:rFonts w:hint="default"/>
        <w:lang w:val="zh-CN" w:eastAsia="zh-CN" w:bidi="zh-CN"/>
      </w:rPr>
    </w:lvl>
    <w:lvl w:ilvl="6">
      <w:start w:val="0"/>
      <w:numFmt w:val="bullet"/>
      <w:lvlText w:val="•"/>
      <w:lvlJc w:val="left"/>
      <w:pPr>
        <w:ind w:left="5295" w:hanging="213"/>
      </w:pPr>
      <w:rPr>
        <w:rFonts w:hint="default"/>
        <w:lang w:val="zh-CN" w:eastAsia="zh-CN" w:bidi="zh-CN"/>
      </w:rPr>
    </w:lvl>
    <w:lvl w:ilvl="7">
      <w:start w:val="0"/>
      <w:numFmt w:val="bullet"/>
      <w:lvlText w:val="•"/>
      <w:lvlJc w:val="left"/>
      <w:pPr>
        <w:ind w:left="6148" w:hanging="213"/>
      </w:pPr>
      <w:rPr>
        <w:rFonts w:hint="default"/>
        <w:lang w:val="zh-CN" w:eastAsia="zh-CN" w:bidi="zh-CN"/>
      </w:rPr>
    </w:lvl>
    <w:lvl w:ilvl="8">
      <w:start w:val="0"/>
      <w:numFmt w:val="bullet"/>
      <w:lvlText w:val="•"/>
      <w:lvlJc w:val="left"/>
      <w:pPr>
        <w:ind w:left="7001" w:hanging="213"/>
      </w:pPr>
      <w:rPr>
        <w:rFonts w:hint="default"/>
        <w:lang w:val="zh-CN" w:eastAsia="zh-CN" w:bidi="zh-CN"/>
      </w:rPr>
    </w:lvl>
  </w:abstractNum>
  <w:abstractNum w:abstractNumId="2">
    <w:multiLevelType w:val="hybridMultilevel"/>
    <w:lvl w:ilvl="0">
      <w:start w:val="1"/>
      <w:numFmt w:val="decimal"/>
      <w:lvlText w:val="%1."/>
      <w:lvlJc w:val="left"/>
      <w:pPr>
        <w:ind w:left="824" w:hanging="213"/>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608" w:hanging="213"/>
      </w:pPr>
      <w:rPr>
        <w:rFonts w:hint="default"/>
        <w:lang w:val="zh-CN" w:eastAsia="zh-CN" w:bidi="zh-CN"/>
      </w:rPr>
    </w:lvl>
    <w:lvl w:ilvl="2">
      <w:start w:val="0"/>
      <w:numFmt w:val="bullet"/>
      <w:lvlText w:val="•"/>
      <w:lvlJc w:val="left"/>
      <w:pPr>
        <w:ind w:left="2397" w:hanging="213"/>
      </w:pPr>
      <w:rPr>
        <w:rFonts w:hint="default"/>
        <w:lang w:val="zh-CN" w:eastAsia="zh-CN" w:bidi="zh-CN"/>
      </w:rPr>
    </w:lvl>
    <w:lvl w:ilvl="3">
      <w:start w:val="0"/>
      <w:numFmt w:val="bullet"/>
      <w:lvlText w:val="•"/>
      <w:lvlJc w:val="left"/>
      <w:pPr>
        <w:ind w:left="3185" w:hanging="213"/>
      </w:pPr>
      <w:rPr>
        <w:rFonts w:hint="default"/>
        <w:lang w:val="zh-CN" w:eastAsia="zh-CN" w:bidi="zh-CN"/>
      </w:rPr>
    </w:lvl>
    <w:lvl w:ilvl="4">
      <w:start w:val="0"/>
      <w:numFmt w:val="bullet"/>
      <w:lvlText w:val="•"/>
      <w:lvlJc w:val="left"/>
      <w:pPr>
        <w:ind w:left="3974" w:hanging="213"/>
      </w:pPr>
      <w:rPr>
        <w:rFonts w:hint="default"/>
        <w:lang w:val="zh-CN" w:eastAsia="zh-CN" w:bidi="zh-CN"/>
      </w:rPr>
    </w:lvl>
    <w:lvl w:ilvl="5">
      <w:start w:val="0"/>
      <w:numFmt w:val="bullet"/>
      <w:lvlText w:val="•"/>
      <w:lvlJc w:val="left"/>
      <w:pPr>
        <w:ind w:left="4763" w:hanging="213"/>
      </w:pPr>
      <w:rPr>
        <w:rFonts w:hint="default"/>
        <w:lang w:val="zh-CN" w:eastAsia="zh-CN" w:bidi="zh-CN"/>
      </w:rPr>
    </w:lvl>
    <w:lvl w:ilvl="6">
      <w:start w:val="0"/>
      <w:numFmt w:val="bullet"/>
      <w:lvlText w:val="•"/>
      <w:lvlJc w:val="left"/>
      <w:pPr>
        <w:ind w:left="5551" w:hanging="213"/>
      </w:pPr>
      <w:rPr>
        <w:rFonts w:hint="default"/>
        <w:lang w:val="zh-CN" w:eastAsia="zh-CN" w:bidi="zh-CN"/>
      </w:rPr>
    </w:lvl>
    <w:lvl w:ilvl="7">
      <w:start w:val="0"/>
      <w:numFmt w:val="bullet"/>
      <w:lvlText w:val="•"/>
      <w:lvlJc w:val="left"/>
      <w:pPr>
        <w:ind w:left="6340" w:hanging="213"/>
      </w:pPr>
      <w:rPr>
        <w:rFonts w:hint="default"/>
        <w:lang w:val="zh-CN" w:eastAsia="zh-CN" w:bidi="zh-CN"/>
      </w:rPr>
    </w:lvl>
    <w:lvl w:ilvl="8">
      <w:start w:val="0"/>
      <w:numFmt w:val="bullet"/>
      <w:lvlText w:val="•"/>
      <w:lvlJc w:val="left"/>
      <w:pPr>
        <w:ind w:left="7129" w:hanging="213"/>
      </w:pPr>
      <w:rPr>
        <w:rFonts w:hint="default"/>
        <w:lang w:val="zh-CN" w:eastAsia="zh-CN" w:bidi="zh-CN"/>
      </w:rPr>
    </w:lvl>
  </w:abstractNum>
  <w:abstractNum w:abstractNumId="1">
    <w:multiLevelType w:val="hybridMultilevel"/>
    <w:lvl w:ilvl="0">
      <w:start w:val="1"/>
      <w:numFmt w:val="decimal"/>
      <w:lvlText w:val="%1."/>
      <w:lvlJc w:val="left"/>
      <w:pPr>
        <w:ind w:left="180" w:hanging="213"/>
        <w:jc w:val="left"/>
      </w:pPr>
      <w:rPr>
        <w:rFonts w:hint="default" w:ascii="宋体" w:hAnsi="宋体" w:eastAsia="宋体" w:cs="宋体"/>
        <w:spacing w:val="-108"/>
        <w:w w:val="100"/>
        <w:sz w:val="19"/>
        <w:szCs w:val="19"/>
        <w:lang w:val="zh-CN" w:eastAsia="zh-CN" w:bidi="zh-CN"/>
      </w:rPr>
    </w:lvl>
    <w:lvl w:ilvl="1">
      <w:start w:val="0"/>
      <w:numFmt w:val="bullet"/>
      <w:lvlText w:val="•"/>
      <w:lvlJc w:val="left"/>
      <w:pPr>
        <w:ind w:left="1032" w:hanging="213"/>
      </w:pPr>
      <w:rPr>
        <w:rFonts w:hint="default"/>
        <w:lang w:val="zh-CN" w:eastAsia="zh-CN" w:bidi="zh-CN"/>
      </w:rPr>
    </w:lvl>
    <w:lvl w:ilvl="2">
      <w:start w:val="0"/>
      <w:numFmt w:val="bullet"/>
      <w:lvlText w:val="•"/>
      <w:lvlJc w:val="left"/>
      <w:pPr>
        <w:ind w:left="1885" w:hanging="213"/>
      </w:pPr>
      <w:rPr>
        <w:rFonts w:hint="default"/>
        <w:lang w:val="zh-CN" w:eastAsia="zh-CN" w:bidi="zh-CN"/>
      </w:rPr>
    </w:lvl>
    <w:lvl w:ilvl="3">
      <w:start w:val="0"/>
      <w:numFmt w:val="bullet"/>
      <w:lvlText w:val="•"/>
      <w:lvlJc w:val="left"/>
      <w:pPr>
        <w:ind w:left="2737" w:hanging="213"/>
      </w:pPr>
      <w:rPr>
        <w:rFonts w:hint="default"/>
        <w:lang w:val="zh-CN" w:eastAsia="zh-CN" w:bidi="zh-CN"/>
      </w:rPr>
    </w:lvl>
    <w:lvl w:ilvl="4">
      <w:start w:val="0"/>
      <w:numFmt w:val="bullet"/>
      <w:lvlText w:val="•"/>
      <w:lvlJc w:val="left"/>
      <w:pPr>
        <w:ind w:left="3590" w:hanging="213"/>
      </w:pPr>
      <w:rPr>
        <w:rFonts w:hint="default"/>
        <w:lang w:val="zh-CN" w:eastAsia="zh-CN" w:bidi="zh-CN"/>
      </w:rPr>
    </w:lvl>
    <w:lvl w:ilvl="5">
      <w:start w:val="0"/>
      <w:numFmt w:val="bullet"/>
      <w:lvlText w:val="•"/>
      <w:lvlJc w:val="left"/>
      <w:pPr>
        <w:ind w:left="4443" w:hanging="213"/>
      </w:pPr>
      <w:rPr>
        <w:rFonts w:hint="default"/>
        <w:lang w:val="zh-CN" w:eastAsia="zh-CN" w:bidi="zh-CN"/>
      </w:rPr>
    </w:lvl>
    <w:lvl w:ilvl="6">
      <w:start w:val="0"/>
      <w:numFmt w:val="bullet"/>
      <w:lvlText w:val="•"/>
      <w:lvlJc w:val="left"/>
      <w:pPr>
        <w:ind w:left="5295" w:hanging="213"/>
      </w:pPr>
      <w:rPr>
        <w:rFonts w:hint="default"/>
        <w:lang w:val="zh-CN" w:eastAsia="zh-CN" w:bidi="zh-CN"/>
      </w:rPr>
    </w:lvl>
    <w:lvl w:ilvl="7">
      <w:start w:val="0"/>
      <w:numFmt w:val="bullet"/>
      <w:lvlText w:val="•"/>
      <w:lvlJc w:val="left"/>
      <w:pPr>
        <w:ind w:left="6148" w:hanging="213"/>
      </w:pPr>
      <w:rPr>
        <w:rFonts w:hint="default"/>
        <w:lang w:val="zh-CN" w:eastAsia="zh-CN" w:bidi="zh-CN"/>
      </w:rPr>
    </w:lvl>
    <w:lvl w:ilvl="8">
      <w:start w:val="0"/>
      <w:numFmt w:val="bullet"/>
      <w:lvlText w:val="•"/>
      <w:lvlJc w:val="left"/>
      <w:pPr>
        <w:ind w:left="7001" w:hanging="213"/>
      </w:pPr>
      <w:rPr>
        <w:rFonts w:hint="default"/>
        <w:lang w:val="zh-CN" w:eastAsia="zh-CN" w:bidi="zh-CN"/>
      </w:rPr>
    </w:lvl>
  </w:abstractNum>
  <w:abstractNum w:abstractNumId="0">
    <w:multiLevelType w:val="hybridMultilevel"/>
    <w:lvl w:ilvl="0">
      <w:start w:val="1"/>
      <w:numFmt w:val="decimal"/>
      <w:lvlText w:val="%1."/>
      <w:lvlJc w:val="left"/>
      <w:pPr>
        <w:ind w:left="180" w:hanging="213"/>
        <w:jc w:val="left"/>
      </w:pPr>
      <w:rPr>
        <w:rFonts w:hint="default" w:ascii="宋体" w:hAnsi="宋体" w:eastAsia="宋体" w:cs="宋体"/>
        <w:spacing w:val="-108"/>
        <w:w w:val="100"/>
        <w:sz w:val="19"/>
        <w:szCs w:val="19"/>
        <w:lang w:val="zh-CN" w:eastAsia="zh-CN" w:bidi="zh-CN"/>
      </w:rPr>
    </w:lvl>
    <w:lvl w:ilvl="1">
      <w:start w:val="0"/>
      <w:numFmt w:val="bullet"/>
      <w:lvlText w:val="•"/>
      <w:lvlJc w:val="left"/>
      <w:pPr>
        <w:ind w:left="1032" w:hanging="213"/>
      </w:pPr>
      <w:rPr>
        <w:rFonts w:hint="default"/>
        <w:lang w:val="zh-CN" w:eastAsia="zh-CN" w:bidi="zh-CN"/>
      </w:rPr>
    </w:lvl>
    <w:lvl w:ilvl="2">
      <w:start w:val="0"/>
      <w:numFmt w:val="bullet"/>
      <w:lvlText w:val="•"/>
      <w:lvlJc w:val="left"/>
      <w:pPr>
        <w:ind w:left="1885" w:hanging="213"/>
      </w:pPr>
      <w:rPr>
        <w:rFonts w:hint="default"/>
        <w:lang w:val="zh-CN" w:eastAsia="zh-CN" w:bidi="zh-CN"/>
      </w:rPr>
    </w:lvl>
    <w:lvl w:ilvl="3">
      <w:start w:val="0"/>
      <w:numFmt w:val="bullet"/>
      <w:lvlText w:val="•"/>
      <w:lvlJc w:val="left"/>
      <w:pPr>
        <w:ind w:left="2737" w:hanging="213"/>
      </w:pPr>
      <w:rPr>
        <w:rFonts w:hint="default"/>
        <w:lang w:val="zh-CN" w:eastAsia="zh-CN" w:bidi="zh-CN"/>
      </w:rPr>
    </w:lvl>
    <w:lvl w:ilvl="4">
      <w:start w:val="0"/>
      <w:numFmt w:val="bullet"/>
      <w:lvlText w:val="•"/>
      <w:lvlJc w:val="left"/>
      <w:pPr>
        <w:ind w:left="3590" w:hanging="213"/>
      </w:pPr>
      <w:rPr>
        <w:rFonts w:hint="default"/>
        <w:lang w:val="zh-CN" w:eastAsia="zh-CN" w:bidi="zh-CN"/>
      </w:rPr>
    </w:lvl>
    <w:lvl w:ilvl="5">
      <w:start w:val="0"/>
      <w:numFmt w:val="bullet"/>
      <w:lvlText w:val="•"/>
      <w:lvlJc w:val="left"/>
      <w:pPr>
        <w:ind w:left="4443" w:hanging="213"/>
      </w:pPr>
      <w:rPr>
        <w:rFonts w:hint="default"/>
        <w:lang w:val="zh-CN" w:eastAsia="zh-CN" w:bidi="zh-CN"/>
      </w:rPr>
    </w:lvl>
    <w:lvl w:ilvl="6">
      <w:start w:val="0"/>
      <w:numFmt w:val="bullet"/>
      <w:lvlText w:val="•"/>
      <w:lvlJc w:val="left"/>
      <w:pPr>
        <w:ind w:left="5295" w:hanging="213"/>
      </w:pPr>
      <w:rPr>
        <w:rFonts w:hint="default"/>
        <w:lang w:val="zh-CN" w:eastAsia="zh-CN" w:bidi="zh-CN"/>
      </w:rPr>
    </w:lvl>
    <w:lvl w:ilvl="7">
      <w:start w:val="0"/>
      <w:numFmt w:val="bullet"/>
      <w:lvlText w:val="•"/>
      <w:lvlJc w:val="left"/>
      <w:pPr>
        <w:ind w:left="6148" w:hanging="213"/>
      </w:pPr>
      <w:rPr>
        <w:rFonts w:hint="default"/>
        <w:lang w:val="zh-CN" w:eastAsia="zh-CN" w:bidi="zh-CN"/>
      </w:rPr>
    </w:lvl>
    <w:lvl w:ilvl="8">
      <w:start w:val="0"/>
      <w:numFmt w:val="bullet"/>
      <w:lvlText w:val="•"/>
      <w:lvlJc w:val="left"/>
      <w:pPr>
        <w:ind w:left="7001" w:hanging="213"/>
      </w:pPr>
      <w:rPr>
        <w:rFonts w:hint="default"/>
        <w:lang w:val="zh-CN" w:eastAsia="zh-CN" w:bidi="zh-CN"/>
      </w:rPr>
    </w:lvl>
  </w:abstract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rPr>
      <w:rFonts w:ascii="宋体" w:hAnsi="宋体" w:eastAsia="宋体" w:cs="宋体"/>
      <w:sz w:val="21"/>
      <w:szCs w:val="21"/>
      <w:lang w:val="zh-CN" w:eastAsia="zh-CN" w:bidi="zh-CN"/>
    </w:rPr>
  </w:style>
  <w:style w:styleId="Heading1" w:type="paragraph">
    <w:name w:val="Heading 1"/>
    <w:basedOn w:val="Normal"/>
    <w:uiPriority w:val="1"/>
    <w:qFormat/>
    <w:pPr>
      <w:spacing w:before="86"/>
      <w:ind w:left="220"/>
      <w:outlineLvl w:val="1"/>
    </w:pPr>
    <w:rPr>
      <w:rFonts w:ascii="微软雅黑" w:hAnsi="微软雅黑" w:eastAsia="微软雅黑" w:cs="微软雅黑"/>
      <w:sz w:val="32"/>
      <w:szCs w:val="32"/>
      <w:lang w:val="zh-CN" w:eastAsia="zh-CN" w:bidi="zh-CN"/>
    </w:rPr>
  </w:style>
  <w:style w:styleId="Heading2" w:type="paragraph">
    <w:name w:val="Heading 2"/>
    <w:basedOn w:val="Normal"/>
    <w:uiPriority w:val="1"/>
    <w:qFormat/>
    <w:pPr>
      <w:spacing w:before="70"/>
      <w:ind w:left="220"/>
      <w:outlineLvl w:val="2"/>
    </w:pPr>
    <w:rPr>
      <w:rFonts w:ascii="仿宋" w:hAnsi="仿宋" w:eastAsia="仿宋" w:cs="仿宋"/>
      <w:sz w:val="28"/>
      <w:szCs w:val="28"/>
      <w:lang w:val="zh-CN" w:eastAsia="zh-CN" w:bidi="zh-CN"/>
    </w:rPr>
  </w:style>
  <w:style w:styleId="Heading3" w:type="paragraph">
    <w:name w:val="Heading 3"/>
    <w:basedOn w:val="Normal"/>
    <w:uiPriority w:val="1"/>
    <w:qFormat/>
    <w:pPr>
      <w:ind w:left="612"/>
      <w:outlineLvl w:val="3"/>
    </w:pPr>
    <w:rPr>
      <w:rFonts w:ascii="宋体" w:hAnsi="宋体" w:eastAsia="宋体" w:cs="宋体"/>
      <w:b/>
      <w:bCs/>
      <w:sz w:val="21"/>
      <w:szCs w:val="21"/>
      <w:lang w:val="zh-CN" w:eastAsia="zh-CN" w:bidi="zh-CN"/>
    </w:rPr>
  </w:style>
  <w:style w:styleId="ListParagraph" w:type="paragraph">
    <w:name w:val="List Paragraph"/>
    <w:basedOn w:val="Normal"/>
    <w:uiPriority w:val="1"/>
    <w:qFormat/>
    <w:pPr>
      <w:ind w:left="180" w:right="211" w:firstLine="431"/>
    </w:pPr>
    <w:rPr>
      <w:rFonts w:ascii="宋体" w:hAnsi="宋体" w:eastAsia="宋体" w:cs="宋体"/>
      <w:lang w:val="zh-CN" w:eastAsia="zh-CN" w:bidi="zh-CN"/>
    </w:rPr>
  </w:style>
  <w:style w:styleId="TableParagraph" w:type="paragraph">
    <w:name w:val="Table Paragraph"/>
    <w:basedOn w:val="Normal"/>
    <w:uiPriority w:val="1"/>
    <w:qFormat/>
    <w:pPr>
      <w:ind w:left="107"/>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Wenqi</dc:creator>
  <dcterms:created xsi:type="dcterms:W3CDTF">2020-03-13T02:31:41Z</dcterms:created>
  <dcterms:modified xsi:type="dcterms:W3CDTF">2020-03-13T02:31:41Z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2020-03-02T00:00:00Z</vt:filetime>
  </property>
  <property fmtid="{D5CDD505-2E9C-101B-9397-08002B2CF9AE}" pid="3" name="Creator">
    <vt:lpwstr>Microsoft® Word 2010</vt:lpwstr>
  </property>
  <property fmtid="{D5CDD505-2E9C-101B-9397-08002B2CF9AE}" pid="4" name="LastSaved">
    <vt:filetime>2020-03-13T00:00:00Z</vt:filetime>
  </property>
</Properties>
</file>